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14B177" w14:textId="02127D09" w:rsidR="0017192B" w:rsidRDefault="0017192B" w:rsidP="00D96EF0">
      <w:pPr>
        <w:pStyle w:val="Encabezado"/>
        <w:tabs>
          <w:tab w:val="right" w:pos="20696"/>
        </w:tabs>
        <w:ind w:left="426"/>
        <w:jc w:val="center"/>
        <w:rPr>
          <w:rFonts w:cs="Arial"/>
          <w:b/>
          <w:szCs w:val="24"/>
          <w:u w:val="single"/>
        </w:rPr>
      </w:pPr>
      <w:r>
        <w:rPr>
          <w:rFonts w:cs="Arial"/>
          <w:b/>
          <w:szCs w:val="24"/>
          <w:u w:val="single"/>
        </w:rPr>
        <w:t>PROYECTO CONSTRUCTIVO “RESTAURACIÓN AMBIENTAL Y URBANA DE LOS SUELOS</w:t>
      </w:r>
    </w:p>
    <w:p w14:paraId="089B2F79" w14:textId="77777777" w:rsidR="00493357" w:rsidRDefault="00493357" w:rsidP="00D96EF0">
      <w:pPr>
        <w:pStyle w:val="Encabezado"/>
        <w:tabs>
          <w:tab w:val="right" w:pos="20696"/>
        </w:tabs>
        <w:ind w:left="426"/>
        <w:jc w:val="center"/>
        <w:rPr>
          <w:rFonts w:cs="Arial"/>
          <w:b/>
          <w:szCs w:val="24"/>
          <w:u w:val="single"/>
        </w:rPr>
      </w:pPr>
    </w:p>
    <w:p w14:paraId="6BE8ED4E" w14:textId="34A12225" w:rsidR="00FF6116" w:rsidRDefault="0017192B" w:rsidP="00D96EF0">
      <w:pPr>
        <w:pStyle w:val="Encabezado"/>
        <w:tabs>
          <w:tab w:val="right" w:pos="20696"/>
        </w:tabs>
        <w:ind w:left="426"/>
        <w:jc w:val="center"/>
        <w:rPr>
          <w:rFonts w:cs="Arial"/>
          <w:b/>
          <w:szCs w:val="24"/>
          <w:u w:val="single"/>
        </w:rPr>
      </w:pPr>
      <w:r>
        <w:rPr>
          <w:rFonts w:cs="Arial"/>
          <w:b/>
          <w:szCs w:val="24"/>
          <w:u w:val="single"/>
        </w:rPr>
        <w:t>DEGRADADOS DE LOS ANTIGUOS DEPÓSITOS DE AGUA EN TUDELA</w:t>
      </w:r>
      <w:r w:rsidR="00082286">
        <w:rPr>
          <w:rFonts w:cs="Arial"/>
          <w:b/>
          <w:szCs w:val="24"/>
          <w:u w:val="single"/>
        </w:rPr>
        <w:t xml:space="preserve"> </w:t>
      </w:r>
      <w:r>
        <w:rPr>
          <w:rFonts w:cs="Arial"/>
          <w:b/>
          <w:szCs w:val="24"/>
          <w:u w:val="single"/>
        </w:rPr>
        <w:t>(</w:t>
      </w:r>
      <w:r w:rsidR="00FF6116" w:rsidRPr="00FF6116">
        <w:rPr>
          <w:rFonts w:cs="Arial"/>
          <w:b/>
          <w:szCs w:val="24"/>
          <w:u w:val="single"/>
        </w:rPr>
        <w:t>NAVARRA)</w:t>
      </w:r>
      <w:r>
        <w:rPr>
          <w:rFonts w:cs="Arial"/>
          <w:b/>
          <w:szCs w:val="24"/>
          <w:u w:val="single"/>
        </w:rPr>
        <w:t>"</w:t>
      </w:r>
    </w:p>
    <w:p w14:paraId="50BF151C" w14:textId="77777777" w:rsidR="00D96EF0" w:rsidRDefault="00D96EF0" w:rsidP="00D96EF0">
      <w:pPr>
        <w:pStyle w:val="Encabezado"/>
        <w:tabs>
          <w:tab w:val="right" w:pos="20696"/>
        </w:tabs>
        <w:ind w:left="426"/>
        <w:jc w:val="center"/>
        <w:rPr>
          <w:rFonts w:cs="Arial"/>
          <w:b/>
          <w:szCs w:val="24"/>
          <w:u w:val="single"/>
        </w:rPr>
      </w:pPr>
    </w:p>
    <w:p w14:paraId="11E9F9FE" w14:textId="77777777" w:rsidR="002B3498" w:rsidRDefault="002B3498" w:rsidP="00D96EF0">
      <w:pPr>
        <w:pStyle w:val="Encabezado"/>
        <w:tabs>
          <w:tab w:val="right" w:pos="20696"/>
        </w:tabs>
        <w:ind w:left="426"/>
        <w:jc w:val="center"/>
        <w:rPr>
          <w:rFonts w:cs="Arial"/>
          <w:b/>
          <w:szCs w:val="24"/>
          <w:u w:val="single"/>
        </w:rPr>
      </w:pPr>
    </w:p>
    <w:p w14:paraId="4D99BE65" w14:textId="378BFEAC" w:rsidR="00D96EF0" w:rsidRPr="00FF6116" w:rsidRDefault="002B3498" w:rsidP="00D96EF0">
      <w:pPr>
        <w:pStyle w:val="Encabezado"/>
        <w:tabs>
          <w:tab w:val="right" w:pos="20696"/>
        </w:tabs>
        <w:ind w:left="426"/>
        <w:jc w:val="center"/>
        <w:rPr>
          <w:rFonts w:cs="Arial"/>
          <w:b/>
          <w:szCs w:val="24"/>
          <w:u w:val="single"/>
        </w:rPr>
      </w:pPr>
      <w:r>
        <w:rPr>
          <w:rFonts w:cs="Arial"/>
          <w:b/>
          <w:szCs w:val="24"/>
          <w:u w:val="single"/>
        </w:rPr>
        <w:t>ANEJO Nº2.- ESTUDIO DE GESTIÓN DE RESIDUOS</w:t>
      </w:r>
    </w:p>
    <w:p w14:paraId="61E4C9B0" w14:textId="77777777" w:rsidR="000228B1" w:rsidRDefault="000228B1" w:rsidP="00D96EF0">
      <w:pPr>
        <w:widowControl/>
        <w:autoSpaceDE/>
        <w:autoSpaceDN/>
        <w:adjustRightInd/>
        <w:spacing w:line="240" w:lineRule="auto"/>
        <w:rPr>
          <w:rFonts w:cs="Arial"/>
          <w:sz w:val="20"/>
          <w:szCs w:val="20"/>
          <w:highlight w:val="yellow"/>
        </w:rPr>
      </w:pPr>
    </w:p>
    <w:p w14:paraId="62A1077E" w14:textId="77777777" w:rsidR="002B3498" w:rsidRDefault="002B3498" w:rsidP="00D96EF0">
      <w:pPr>
        <w:widowControl/>
        <w:autoSpaceDE/>
        <w:autoSpaceDN/>
        <w:adjustRightInd/>
        <w:spacing w:line="240" w:lineRule="auto"/>
        <w:rPr>
          <w:rFonts w:cs="Arial"/>
          <w:sz w:val="20"/>
          <w:szCs w:val="20"/>
          <w:highlight w:val="yellow"/>
        </w:rPr>
      </w:pPr>
    </w:p>
    <w:p w14:paraId="425D16FD" w14:textId="77777777" w:rsidR="002B3498" w:rsidRDefault="002B3498" w:rsidP="00D96EF0">
      <w:pPr>
        <w:widowControl/>
        <w:autoSpaceDE/>
        <w:autoSpaceDN/>
        <w:adjustRightInd/>
        <w:spacing w:line="240" w:lineRule="auto"/>
        <w:rPr>
          <w:rFonts w:cs="Arial"/>
          <w:sz w:val="20"/>
          <w:szCs w:val="20"/>
          <w:highlight w:val="yellow"/>
        </w:rPr>
      </w:pPr>
    </w:p>
    <w:p w14:paraId="385CEE52" w14:textId="77777777" w:rsidR="002B3498" w:rsidRPr="00E33649" w:rsidRDefault="002B3498" w:rsidP="002B3498">
      <w:pPr>
        <w:pStyle w:val="Ttulo1"/>
      </w:pPr>
      <w:r w:rsidRPr="00E33649">
        <w:t>INTRODUCCIÓN Y OBJETIVO</w:t>
      </w:r>
    </w:p>
    <w:p w14:paraId="04BE59D7" w14:textId="77777777" w:rsidR="002B3498" w:rsidRDefault="002B3498" w:rsidP="002B3498">
      <w:pPr>
        <w:spacing w:line="360" w:lineRule="auto"/>
        <w:rPr>
          <w:rFonts w:cs="Arial"/>
        </w:rPr>
      </w:pPr>
    </w:p>
    <w:p w14:paraId="602F986D" w14:textId="77777777" w:rsidR="002B3498" w:rsidRPr="002B3498" w:rsidRDefault="002B3498" w:rsidP="002B3498">
      <w:pPr>
        <w:spacing w:line="360" w:lineRule="auto"/>
        <w:rPr>
          <w:rFonts w:cs="Arial"/>
          <w:sz w:val="20"/>
        </w:rPr>
      </w:pPr>
      <w:r w:rsidRPr="002B3498">
        <w:rPr>
          <w:rFonts w:cs="Arial"/>
          <w:sz w:val="20"/>
        </w:rPr>
        <w:t xml:space="preserve">El presente Estudio de Gestión de Residuos tiene por objeto definir las normas de actuación para llevar a cabo la correcta gestión de los residuos recogidos/generados en la ejecución del </w:t>
      </w:r>
      <w:r w:rsidRPr="002B3498">
        <w:rPr>
          <w:rFonts w:cs="Arial"/>
          <w:color w:val="000000"/>
          <w:sz w:val="20"/>
        </w:rPr>
        <w:t>“RESTAURACIÓN AMBIENTAL Y URBANA DE LOS SUELOS DEGRADADOS DE LOS ANTIGUOS DEPÓSITOS DE AGUA EN TUDELA (NAVARRA)"</w:t>
      </w:r>
      <w:r w:rsidRPr="002B3498">
        <w:rPr>
          <w:rFonts w:cs="Arial"/>
          <w:sz w:val="20"/>
        </w:rPr>
        <w:t>.</w:t>
      </w:r>
    </w:p>
    <w:p w14:paraId="1CF7893B" w14:textId="77777777" w:rsidR="002B3498" w:rsidRPr="002B3498" w:rsidRDefault="002B3498" w:rsidP="002B3498">
      <w:pPr>
        <w:spacing w:line="360" w:lineRule="auto"/>
        <w:rPr>
          <w:rFonts w:cs="Arial"/>
          <w:sz w:val="20"/>
        </w:rPr>
      </w:pPr>
    </w:p>
    <w:p w14:paraId="5F586B08" w14:textId="77777777" w:rsidR="002B3498" w:rsidRPr="002B3498" w:rsidRDefault="002B3498" w:rsidP="002B3498">
      <w:pPr>
        <w:spacing w:line="360" w:lineRule="auto"/>
        <w:rPr>
          <w:rFonts w:cs="Arial"/>
          <w:sz w:val="20"/>
        </w:rPr>
      </w:pPr>
      <w:r w:rsidRPr="002B3498">
        <w:rPr>
          <w:rFonts w:cs="Arial"/>
          <w:sz w:val="20"/>
        </w:rPr>
        <w:t>Se pretende recuperar y re-naturalizar la zona donde se ubican los antiguos depósitos de agua, revertir el proceso de degradación del entorno natural original derivado del vertido incontrolado de residuos domésticos, agrícolas y de construcción y demolición llevado a cabo por particulares.</w:t>
      </w:r>
    </w:p>
    <w:p w14:paraId="5E0F0080" w14:textId="77777777" w:rsidR="002B3498" w:rsidRPr="00E33649" w:rsidRDefault="002B3498" w:rsidP="002B3498">
      <w:pPr>
        <w:spacing w:line="360" w:lineRule="auto"/>
        <w:rPr>
          <w:rFonts w:cs="Arial"/>
        </w:rPr>
      </w:pPr>
    </w:p>
    <w:p w14:paraId="00930C3D" w14:textId="77777777" w:rsidR="002B3498" w:rsidRPr="002B3498" w:rsidRDefault="002B3498" w:rsidP="002B3498">
      <w:pPr>
        <w:spacing w:line="360" w:lineRule="auto"/>
        <w:rPr>
          <w:rFonts w:cs="Arial"/>
          <w:sz w:val="20"/>
        </w:rPr>
      </w:pPr>
      <w:r w:rsidRPr="002B3498">
        <w:rPr>
          <w:rFonts w:cs="Arial"/>
          <w:sz w:val="20"/>
        </w:rPr>
        <w:t>Este Estudio incluye:</w:t>
      </w:r>
    </w:p>
    <w:p w14:paraId="24493C8E" w14:textId="77777777" w:rsidR="002B3498" w:rsidRPr="002B3498" w:rsidRDefault="002B3498" w:rsidP="001562A4">
      <w:pPr>
        <w:pStyle w:val="Prrafodelista"/>
        <w:widowControl/>
        <w:numPr>
          <w:ilvl w:val="0"/>
          <w:numId w:val="4"/>
        </w:numPr>
        <w:autoSpaceDE/>
        <w:autoSpaceDN/>
        <w:adjustRightInd/>
        <w:spacing w:line="360" w:lineRule="auto"/>
        <w:contextualSpacing/>
        <w:rPr>
          <w:rFonts w:cs="Arial"/>
          <w:sz w:val="20"/>
        </w:rPr>
      </w:pPr>
      <w:r w:rsidRPr="002B3498">
        <w:rPr>
          <w:rFonts w:cs="Arial"/>
          <w:sz w:val="20"/>
        </w:rPr>
        <w:t>Estimación de la cantidad, expresada en toneladas y en metros cúbicos, de los residuos domésticos, agrícolas y de construcción y demolición que están depositados en la zona del proyecto y los generados en su ejecución, codificados con arreglo a la lista europea de residuos establecida en la Decisión 2014/955/UE de la Comisión, de 18 de diciembre de 2014, por la que se modifica la Decisión 2000/532/CE, sobre la lista de residuos, de conformidad con la Directiva 2008/98/CE del Parlamento Europeo y del Consejo.</w:t>
      </w:r>
    </w:p>
    <w:p w14:paraId="28A4D680" w14:textId="77777777" w:rsidR="002B3498" w:rsidRPr="002B3498" w:rsidRDefault="002B3498" w:rsidP="001562A4">
      <w:pPr>
        <w:pStyle w:val="Prrafodelista"/>
        <w:widowControl/>
        <w:numPr>
          <w:ilvl w:val="0"/>
          <w:numId w:val="4"/>
        </w:numPr>
        <w:autoSpaceDE/>
        <w:autoSpaceDN/>
        <w:adjustRightInd/>
        <w:spacing w:line="360" w:lineRule="auto"/>
        <w:contextualSpacing/>
        <w:rPr>
          <w:rFonts w:cs="Arial"/>
          <w:sz w:val="20"/>
        </w:rPr>
      </w:pPr>
      <w:r w:rsidRPr="002B3498">
        <w:rPr>
          <w:rFonts w:cs="Arial"/>
          <w:color w:val="303030"/>
          <w:sz w:val="20"/>
        </w:rPr>
        <w:t>Medidas para la prevención de residuos en la obra objeto del proyecto.</w:t>
      </w:r>
    </w:p>
    <w:p w14:paraId="56C5B358" w14:textId="77777777" w:rsidR="002B3498" w:rsidRPr="002B3498" w:rsidRDefault="002B3498" w:rsidP="001562A4">
      <w:pPr>
        <w:pStyle w:val="Prrafodelista"/>
        <w:widowControl/>
        <w:numPr>
          <w:ilvl w:val="0"/>
          <w:numId w:val="4"/>
        </w:numPr>
        <w:autoSpaceDE/>
        <w:autoSpaceDN/>
        <w:adjustRightInd/>
        <w:spacing w:line="360" w:lineRule="auto"/>
        <w:contextualSpacing/>
        <w:rPr>
          <w:rFonts w:cs="Arial"/>
          <w:sz w:val="20"/>
        </w:rPr>
      </w:pPr>
      <w:r w:rsidRPr="002B3498">
        <w:rPr>
          <w:rFonts w:cs="Arial"/>
          <w:color w:val="303030"/>
          <w:sz w:val="20"/>
        </w:rPr>
        <w:t>Medidas para la separación de los residuos.</w:t>
      </w:r>
    </w:p>
    <w:p w14:paraId="797E1A0F" w14:textId="77777777" w:rsidR="002B3498" w:rsidRPr="002B3498" w:rsidRDefault="002B3498" w:rsidP="001562A4">
      <w:pPr>
        <w:pStyle w:val="Prrafodelista"/>
        <w:widowControl/>
        <w:numPr>
          <w:ilvl w:val="0"/>
          <w:numId w:val="4"/>
        </w:numPr>
        <w:autoSpaceDE/>
        <w:autoSpaceDN/>
        <w:adjustRightInd/>
        <w:spacing w:line="360" w:lineRule="auto"/>
        <w:contextualSpacing/>
        <w:rPr>
          <w:rFonts w:cs="Arial"/>
          <w:sz w:val="20"/>
        </w:rPr>
      </w:pPr>
      <w:r w:rsidRPr="002B3498">
        <w:rPr>
          <w:rFonts w:cs="Arial"/>
          <w:sz w:val="20"/>
        </w:rPr>
        <w:t>Operaciones de reutilización, valorización o eliminación a que se destinarán los residuos.</w:t>
      </w:r>
    </w:p>
    <w:p w14:paraId="75BAA6EF" w14:textId="77777777" w:rsidR="002B3498" w:rsidRPr="002B3498" w:rsidRDefault="002B3498" w:rsidP="001562A4">
      <w:pPr>
        <w:pStyle w:val="Prrafodelista"/>
        <w:widowControl/>
        <w:numPr>
          <w:ilvl w:val="0"/>
          <w:numId w:val="4"/>
        </w:numPr>
        <w:autoSpaceDE/>
        <w:autoSpaceDN/>
        <w:adjustRightInd/>
        <w:spacing w:line="360" w:lineRule="auto"/>
        <w:contextualSpacing/>
        <w:rPr>
          <w:rFonts w:cs="Arial"/>
          <w:sz w:val="20"/>
        </w:rPr>
      </w:pPr>
      <w:r w:rsidRPr="002B3498">
        <w:rPr>
          <w:rFonts w:cs="Arial"/>
          <w:color w:val="303030"/>
          <w:sz w:val="20"/>
        </w:rPr>
        <w:t>Planos de instalaciones previstas para el almacenamiento, manejo y separación de residuos.</w:t>
      </w:r>
    </w:p>
    <w:p w14:paraId="14A317D6" w14:textId="77777777" w:rsidR="002B3498" w:rsidRPr="002B3498" w:rsidRDefault="002B3498" w:rsidP="001562A4">
      <w:pPr>
        <w:pStyle w:val="Prrafodelista"/>
        <w:widowControl/>
        <w:numPr>
          <w:ilvl w:val="0"/>
          <w:numId w:val="4"/>
        </w:numPr>
        <w:autoSpaceDE/>
        <w:autoSpaceDN/>
        <w:adjustRightInd/>
        <w:spacing w:line="360" w:lineRule="auto"/>
        <w:contextualSpacing/>
        <w:rPr>
          <w:rFonts w:cs="Arial"/>
          <w:sz w:val="20"/>
        </w:rPr>
      </w:pPr>
      <w:r w:rsidRPr="002B3498">
        <w:rPr>
          <w:rFonts w:cs="Arial"/>
          <w:sz w:val="20"/>
        </w:rPr>
        <w:t>Prescripciones técnicas particulares del proyecto, en relación con el almacenamiento, manejo, separación y, en su caso, otras operaciones de gestión de los residuos dentro de la obra.</w:t>
      </w:r>
    </w:p>
    <w:p w14:paraId="4FD62DB4" w14:textId="77777777" w:rsidR="002B3498" w:rsidRPr="002B3498" w:rsidRDefault="002B3498" w:rsidP="001562A4">
      <w:pPr>
        <w:pStyle w:val="Prrafodelista"/>
        <w:widowControl/>
        <w:numPr>
          <w:ilvl w:val="0"/>
          <w:numId w:val="4"/>
        </w:numPr>
        <w:autoSpaceDE/>
        <w:autoSpaceDN/>
        <w:adjustRightInd/>
        <w:spacing w:line="360" w:lineRule="auto"/>
        <w:contextualSpacing/>
        <w:rPr>
          <w:rFonts w:cs="Arial"/>
          <w:sz w:val="20"/>
        </w:rPr>
      </w:pPr>
      <w:r w:rsidRPr="002B3498">
        <w:rPr>
          <w:rFonts w:cs="Arial"/>
          <w:sz w:val="20"/>
        </w:rPr>
        <w:t>Valoración del coste previsto de la gestión de los residuos gestionados en este proyecto.</w:t>
      </w:r>
    </w:p>
    <w:p w14:paraId="66A43EBC" w14:textId="77777777" w:rsidR="002B3498" w:rsidRDefault="002B3498" w:rsidP="002B3498">
      <w:pPr>
        <w:spacing w:line="360" w:lineRule="auto"/>
        <w:ind w:left="360"/>
        <w:rPr>
          <w:rFonts w:cs="Arial"/>
        </w:rPr>
      </w:pPr>
    </w:p>
    <w:p w14:paraId="0847C98C" w14:textId="77777777" w:rsidR="002B3498" w:rsidRDefault="002B3498" w:rsidP="002B3498">
      <w:pPr>
        <w:spacing w:line="360" w:lineRule="auto"/>
        <w:ind w:left="360"/>
        <w:rPr>
          <w:rFonts w:cs="Arial"/>
        </w:rPr>
      </w:pPr>
    </w:p>
    <w:p w14:paraId="450BA6F9" w14:textId="77777777" w:rsidR="002B3498" w:rsidRDefault="002B3498" w:rsidP="002B3498">
      <w:pPr>
        <w:spacing w:line="360" w:lineRule="auto"/>
        <w:ind w:left="360"/>
        <w:rPr>
          <w:rFonts w:cs="Arial"/>
        </w:rPr>
      </w:pPr>
    </w:p>
    <w:p w14:paraId="6B117140" w14:textId="77777777" w:rsidR="002B3498" w:rsidRDefault="002B3498" w:rsidP="002B3498">
      <w:pPr>
        <w:spacing w:line="360" w:lineRule="auto"/>
        <w:ind w:left="360"/>
        <w:rPr>
          <w:rFonts w:cs="Arial"/>
        </w:rPr>
      </w:pPr>
    </w:p>
    <w:p w14:paraId="17329971" w14:textId="77777777" w:rsidR="002B3498" w:rsidRPr="00E33649" w:rsidRDefault="002B3498" w:rsidP="002B3498">
      <w:pPr>
        <w:spacing w:line="360" w:lineRule="auto"/>
        <w:ind w:left="360"/>
        <w:rPr>
          <w:rFonts w:cs="Arial"/>
        </w:rPr>
      </w:pPr>
    </w:p>
    <w:p w14:paraId="4607A529" w14:textId="77777777" w:rsidR="002B3498" w:rsidRDefault="002B3498" w:rsidP="002B3498">
      <w:pPr>
        <w:pStyle w:val="Ttulo1"/>
      </w:pPr>
      <w:r w:rsidRPr="00E33649">
        <w:t>CUMPLIMIENTO DE LA NORMATIVA VIGENTE</w:t>
      </w:r>
    </w:p>
    <w:p w14:paraId="6FDAD8E0" w14:textId="77777777" w:rsidR="002B3498" w:rsidRPr="002B3498" w:rsidRDefault="002B3498" w:rsidP="002B3498"/>
    <w:p w14:paraId="2E580131" w14:textId="77777777" w:rsidR="002B3498" w:rsidRPr="002B3498" w:rsidRDefault="002B3498" w:rsidP="002B3498">
      <w:pPr>
        <w:spacing w:line="360" w:lineRule="auto"/>
        <w:ind w:left="360"/>
        <w:rPr>
          <w:rFonts w:cs="Arial"/>
          <w:sz w:val="20"/>
        </w:rPr>
      </w:pPr>
      <w:r w:rsidRPr="002B3498">
        <w:rPr>
          <w:rFonts w:cs="Arial"/>
          <w:sz w:val="20"/>
        </w:rPr>
        <w:t>Para la redacción de este documento se ha tenido en cuenta la siguiente normativa:</w:t>
      </w:r>
    </w:p>
    <w:p w14:paraId="013292D7" w14:textId="77777777" w:rsidR="002B3498" w:rsidRPr="002B3498" w:rsidRDefault="002B3498" w:rsidP="001562A4">
      <w:pPr>
        <w:pStyle w:val="Prrafodelista"/>
        <w:widowControl/>
        <w:numPr>
          <w:ilvl w:val="0"/>
          <w:numId w:val="4"/>
        </w:numPr>
        <w:autoSpaceDE/>
        <w:autoSpaceDN/>
        <w:adjustRightInd/>
        <w:spacing w:line="360" w:lineRule="auto"/>
        <w:contextualSpacing/>
        <w:rPr>
          <w:rFonts w:cs="Arial"/>
          <w:sz w:val="20"/>
        </w:rPr>
      </w:pPr>
      <w:r w:rsidRPr="002B3498">
        <w:rPr>
          <w:rFonts w:cs="Arial"/>
          <w:sz w:val="20"/>
        </w:rPr>
        <w:t>Normativa general:</w:t>
      </w:r>
    </w:p>
    <w:p w14:paraId="0C37F403" w14:textId="77777777" w:rsidR="002B3498" w:rsidRPr="002B3498" w:rsidRDefault="002B3498" w:rsidP="001562A4">
      <w:pPr>
        <w:pStyle w:val="Prrafodelista"/>
        <w:widowControl/>
        <w:numPr>
          <w:ilvl w:val="1"/>
          <w:numId w:val="4"/>
        </w:numPr>
        <w:autoSpaceDE/>
        <w:autoSpaceDN/>
        <w:adjustRightInd/>
        <w:spacing w:line="360" w:lineRule="auto"/>
        <w:contextualSpacing/>
        <w:rPr>
          <w:rFonts w:cs="Arial"/>
          <w:sz w:val="20"/>
        </w:rPr>
      </w:pPr>
      <w:r w:rsidRPr="002B3498">
        <w:rPr>
          <w:rFonts w:cs="Arial"/>
          <w:sz w:val="20"/>
        </w:rPr>
        <w:t>Ley 7/2022, de 8 de abril, de residuos y suelos contaminados para una economía circular.</w:t>
      </w:r>
    </w:p>
    <w:p w14:paraId="5998C984" w14:textId="77777777" w:rsidR="002B3498" w:rsidRPr="002B3498" w:rsidRDefault="002B3498" w:rsidP="001562A4">
      <w:pPr>
        <w:pStyle w:val="Prrafodelista"/>
        <w:widowControl/>
        <w:numPr>
          <w:ilvl w:val="1"/>
          <w:numId w:val="4"/>
        </w:numPr>
        <w:autoSpaceDE/>
        <w:autoSpaceDN/>
        <w:adjustRightInd/>
        <w:spacing w:line="360" w:lineRule="auto"/>
        <w:contextualSpacing/>
        <w:rPr>
          <w:rFonts w:cs="Arial"/>
          <w:sz w:val="20"/>
        </w:rPr>
      </w:pPr>
      <w:r w:rsidRPr="002B3498">
        <w:rPr>
          <w:rFonts w:cs="Arial"/>
          <w:sz w:val="20"/>
        </w:rPr>
        <w:t>Real Decreto 646/2020, de 7 de julio, por el que se regula la eliminación de residuos mediante depósito en vertedero.</w:t>
      </w:r>
    </w:p>
    <w:p w14:paraId="5577BBA9" w14:textId="77777777" w:rsidR="002B3498" w:rsidRPr="002B3498" w:rsidRDefault="002B3498" w:rsidP="001562A4">
      <w:pPr>
        <w:pStyle w:val="Prrafodelista"/>
        <w:widowControl/>
        <w:numPr>
          <w:ilvl w:val="1"/>
          <w:numId w:val="4"/>
        </w:numPr>
        <w:autoSpaceDE/>
        <w:autoSpaceDN/>
        <w:adjustRightInd/>
        <w:spacing w:line="360" w:lineRule="auto"/>
        <w:contextualSpacing/>
        <w:rPr>
          <w:rFonts w:cs="Arial"/>
          <w:sz w:val="20"/>
        </w:rPr>
      </w:pPr>
      <w:r w:rsidRPr="002B3498">
        <w:rPr>
          <w:rFonts w:cs="Arial"/>
          <w:sz w:val="20"/>
        </w:rPr>
        <w:t>Decisión 2014/955/UE de la Comisión, de 18 de diciembre de 2014, por la que se modifica la Decisión 2000/532/CE, sobre la lista de residuos, de conformidad con la Directiva 2008/98/CE del Parlamento Europeo y del Consejo.</w:t>
      </w:r>
    </w:p>
    <w:p w14:paraId="6D67175C" w14:textId="77777777" w:rsidR="002B3498" w:rsidRPr="002B3498" w:rsidRDefault="002B3498" w:rsidP="001562A4">
      <w:pPr>
        <w:pStyle w:val="Prrafodelista"/>
        <w:widowControl/>
        <w:numPr>
          <w:ilvl w:val="1"/>
          <w:numId w:val="4"/>
        </w:numPr>
        <w:autoSpaceDE/>
        <w:autoSpaceDN/>
        <w:adjustRightInd/>
        <w:spacing w:line="360" w:lineRule="auto"/>
        <w:contextualSpacing/>
        <w:rPr>
          <w:rFonts w:cs="Arial"/>
          <w:sz w:val="20"/>
        </w:rPr>
      </w:pPr>
      <w:r w:rsidRPr="002B3498">
        <w:rPr>
          <w:rFonts w:cs="Arial"/>
          <w:sz w:val="20"/>
        </w:rPr>
        <w:t>Reglamento (CE) 1272/2008 del Parlamento Europeo y del Consejo de 16 de diciembre de 2008, sobre clasificación, etiquetado y envasado de sustancias y mezclas, y por el que se modifican y derogan las Directivas 67/548/CEE y 1999/45/CE y se modifica el Reglamento (CE) no 1907/2006.</w:t>
      </w:r>
    </w:p>
    <w:p w14:paraId="26F823E0" w14:textId="77777777" w:rsidR="002B3498" w:rsidRPr="002B3498" w:rsidRDefault="002B3498" w:rsidP="001562A4">
      <w:pPr>
        <w:pStyle w:val="Prrafodelista"/>
        <w:widowControl/>
        <w:numPr>
          <w:ilvl w:val="0"/>
          <w:numId w:val="4"/>
        </w:numPr>
        <w:autoSpaceDE/>
        <w:autoSpaceDN/>
        <w:adjustRightInd/>
        <w:spacing w:line="360" w:lineRule="auto"/>
        <w:contextualSpacing/>
        <w:rPr>
          <w:rFonts w:cs="Arial"/>
          <w:sz w:val="20"/>
        </w:rPr>
      </w:pPr>
      <w:r w:rsidRPr="002B3498">
        <w:rPr>
          <w:rFonts w:cs="Arial"/>
          <w:sz w:val="20"/>
        </w:rPr>
        <w:t>Normativa construcción y demolición:</w:t>
      </w:r>
    </w:p>
    <w:p w14:paraId="1885212B" w14:textId="77777777" w:rsidR="002B3498" w:rsidRPr="002B3498" w:rsidRDefault="002B3498" w:rsidP="001562A4">
      <w:pPr>
        <w:pStyle w:val="Prrafodelista"/>
        <w:widowControl/>
        <w:numPr>
          <w:ilvl w:val="1"/>
          <w:numId w:val="4"/>
        </w:numPr>
        <w:autoSpaceDE/>
        <w:autoSpaceDN/>
        <w:adjustRightInd/>
        <w:spacing w:line="360" w:lineRule="auto"/>
        <w:contextualSpacing/>
        <w:rPr>
          <w:rFonts w:cs="Arial"/>
          <w:sz w:val="20"/>
        </w:rPr>
      </w:pPr>
      <w:r w:rsidRPr="002B3498">
        <w:rPr>
          <w:rFonts w:cs="Arial"/>
          <w:sz w:val="20"/>
        </w:rPr>
        <w:t>Real Decreto 105/2008, de 1 de febrero, por el que se regula la producción y gestión de los residuos de construcción y demolición.</w:t>
      </w:r>
    </w:p>
    <w:p w14:paraId="46562B76" w14:textId="77777777" w:rsidR="002B3498" w:rsidRPr="002B3498" w:rsidRDefault="002B3498" w:rsidP="001562A4">
      <w:pPr>
        <w:pStyle w:val="Prrafodelista"/>
        <w:widowControl/>
        <w:numPr>
          <w:ilvl w:val="0"/>
          <w:numId w:val="4"/>
        </w:numPr>
        <w:autoSpaceDE/>
        <w:autoSpaceDN/>
        <w:adjustRightInd/>
        <w:spacing w:line="360" w:lineRule="auto"/>
        <w:contextualSpacing/>
        <w:rPr>
          <w:rFonts w:cs="Arial"/>
          <w:sz w:val="20"/>
        </w:rPr>
      </w:pPr>
      <w:r w:rsidRPr="002B3498">
        <w:rPr>
          <w:rFonts w:cs="Arial"/>
          <w:sz w:val="20"/>
        </w:rPr>
        <w:t>Normativa autonómica (Navarra):</w:t>
      </w:r>
    </w:p>
    <w:p w14:paraId="72CE3A96" w14:textId="77777777" w:rsidR="002B3498" w:rsidRPr="002B3498" w:rsidRDefault="002B3498" w:rsidP="001562A4">
      <w:pPr>
        <w:pStyle w:val="Prrafodelista"/>
        <w:widowControl/>
        <w:numPr>
          <w:ilvl w:val="1"/>
          <w:numId w:val="4"/>
        </w:numPr>
        <w:autoSpaceDE/>
        <w:autoSpaceDN/>
        <w:adjustRightInd/>
        <w:spacing w:line="360" w:lineRule="auto"/>
        <w:contextualSpacing/>
        <w:rPr>
          <w:rFonts w:cs="Arial"/>
          <w:sz w:val="20"/>
        </w:rPr>
      </w:pPr>
      <w:r w:rsidRPr="002B3498">
        <w:rPr>
          <w:rFonts w:cs="Arial"/>
          <w:sz w:val="20"/>
        </w:rPr>
        <w:t>Ley Foral 14/2018, de 18 de junio, de Residuos y su Fiscalidad.</w:t>
      </w:r>
    </w:p>
    <w:p w14:paraId="6CAA7BD5" w14:textId="77777777" w:rsidR="002B3498" w:rsidRPr="002B3498" w:rsidRDefault="002B3498" w:rsidP="001562A4">
      <w:pPr>
        <w:pStyle w:val="Prrafodelista"/>
        <w:widowControl/>
        <w:numPr>
          <w:ilvl w:val="1"/>
          <w:numId w:val="4"/>
        </w:numPr>
        <w:autoSpaceDE/>
        <w:autoSpaceDN/>
        <w:adjustRightInd/>
        <w:spacing w:line="360" w:lineRule="auto"/>
        <w:contextualSpacing/>
        <w:rPr>
          <w:rFonts w:cs="Arial"/>
          <w:sz w:val="20"/>
        </w:rPr>
      </w:pPr>
      <w:r w:rsidRPr="002B3498">
        <w:rPr>
          <w:rFonts w:cs="Arial"/>
          <w:sz w:val="20"/>
        </w:rPr>
        <w:t>Decreto Foral 23/2011, de 28 de marzo, por el que se regula la producción y gestión de los residuos de construcción y demolición en el ámbito territorial de la Comunidad Foral de Navarra.</w:t>
      </w:r>
    </w:p>
    <w:p w14:paraId="635D9795" w14:textId="77777777" w:rsidR="002B3498" w:rsidRDefault="002B3498" w:rsidP="002B3498">
      <w:pPr>
        <w:spacing w:line="360" w:lineRule="auto"/>
        <w:rPr>
          <w:rFonts w:cs="Arial"/>
        </w:rPr>
      </w:pPr>
    </w:p>
    <w:p w14:paraId="2B41291B" w14:textId="77777777" w:rsidR="002B3498" w:rsidRPr="00E33649" w:rsidRDefault="002B3498" w:rsidP="002B3498">
      <w:pPr>
        <w:spacing w:line="360" w:lineRule="auto"/>
        <w:rPr>
          <w:rFonts w:cs="Arial"/>
        </w:rPr>
      </w:pPr>
    </w:p>
    <w:p w14:paraId="188D1D0D" w14:textId="77777777" w:rsidR="002B3498" w:rsidRDefault="002B3498" w:rsidP="002B3498">
      <w:pPr>
        <w:pStyle w:val="Ttulo1"/>
      </w:pPr>
      <w:r w:rsidRPr="00E33649">
        <w:t>DEFINICIONES</w:t>
      </w:r>
    </w:p>
    <w:p w14:paraId="716F040E" w14:textId="77777777" w:rsidR="002B3498" w:rsidRPr="002B3498" w:rsidRDefault="002B3498" w:rsidP="002B3498"/>
    <w:p w14:paraId="78A0411A"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Agente:</w:t>
      </w:r>
      <w:r w:rsidRPr="002B3498">
        <w:rPr>
          <w:rFonts w:ascii="Arial" w:hAnsi="Arial" w:cs="Arial"/>
          <w:sz w:val="20"/>
          <w:szCs w:val="20"/>
        </w:rPr>
        <w:t xml:space="preserve"> toda persona física o jurídica que organice la valorización o la eliminación de residuos por encargo de terceros, incluidas aquellas que no tomen posesión física de los residuos (art.2 de la Ley 7/2022).</w:t>
      </w:r>
    </w:p>
    <w:p w14:paraId="36EE8A4B"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Basura dispersa:</w:t>
      </w:r>
      <w:r w:rsidRPr="002B3498">
        <w:rPr>
          <w:rFonts w:ascii="Arial" w:hAnsi="Arial" w:cs="Arial"/>
          <w:sz w:val="20"/>
          <w:szCs w:val="20"/>
        </w:rPr>
        <w:t xml:space="preserve"> residuos no depositados en los lugares designados para ello y que acaban abandonados en espacios naturales o urbanos, requiriendo de una operación de limpieza ordinaria o extraordinaria para restablecer su situación inicial (art.2 de la Ley 7/2022).</w:t>
      </w:r>
    </w:p>
    <w:p w14:paraId="783C1EDB"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Código LER:</w:t>
      </w:r>
      <w:r w:rsidRPr="002B3498">
        <w:rPr>
          <w:rFonts w:ascii="Arial" w:hAnsi="Arial" w:cs="Arial"/>
          <w:sz w:val="20"/>
          <w:szCs w:val="20"/>
        </w:rPr>
        <w:t xml:space="preserve"> Código de 6 cifras para identificar un residuo según la Decisión 2014/955/UE de la Comisión.</w:t>
      </w:r>
    </w:p>
    <w:p w14:paraId="3578BFEE"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Eliminación:</w:t>
      </w:r>
      <w:r w:rsidRPr="002B3498">
        <w:rPr>
          <w:rFonts w:ascii="Arial" w:hAnsi="Arial" w:cs="Arial"/>
          <w:sz w:val="20"/>
          <w:szCs w:val="20"/>
        </w:rPr>
        <w:t xml:space="preserve"> cualquier operación que no sea la valorización, incluso cuando la operación tenga como consecuencia secundaria el aprovechamiento de sustancias o materiales, siempre que estos no superen el 50 % en peso del residuo tratado, o el aprovechamiento de energía (art.2 de la ley 7/2022. En el anexo III de dicha Ley se recoge una lista no exhaustiva de operaciones de eliminación).</w:t>
      </w:r>
    </w:p>
    <w:p w14:paraId="7467D76A"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Envase:</w:t>
      </w:r>
      <w:r w:rsidRPr="002B3498">
        <w:rPr>
          <w:rFonts w:ascii="Arial" w:hAnsi="Arial" w:cs="Arial"/>
          <w:sz w:val="20"/>
          <w:szCs w:val="20"/>
        </w:rPr>
        <w:t xml:space="preserve"> todo producto fabricado con materiales de cualquier naturaleza y que se utilice para contener, proteger, manipular, distribuir y presentar mercancías, desde materias primas hasta artículos acabados, en cualquier fase de la cadena de fabricación, distribución y consumo. Se considerarán también envases todos los artículos desechables utilizados con este mismo fin (art.2 del Real Decreto 1055/2022).</w:t>
      </w:r>
    </w:p>
    <w:p w14:paraId="4EBFE210"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lastRenderedPageBreak/>
        <w:t>Gestión de residuos:</w:t>
      </w:r>
      <w:r w:rsidRPr="002B3498">
        <w:rPr>
          <w:rFonts w:ascii="Arial" w:hAnsi="Arial" w:cs="Arial"/>
          <w:sz w:val="20"/>
          <w:szCs w:val="20"/>
        </w:rPr>
        <w:t xml:space="preserve"> la recogida, el transporte, la valorización y la eliminación de los residuos, incluida la clasificación y otras operaciones previas; así como la vigilancia de estas operaciones y el mantenimiento posterior al cierre de los vertederos. Se incluyen también las actuaciones realizadas en calidad de negociante o agente (art.2 de la Ley 7/2022).</w:t>
      </w:r>
    </w:p>
    <w:p w14:paraId="325050A9"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Gestor de residuos:</w:t>
      </w:r>
      <w:r w:rsidRPr="002B3498">
        <w:rPr>
          <w:rFonts w:ascii="Arial" w:hAnsi="Arial" w:cs="Arial"/>
          <w:sz w:val="20"/>
          <w:szCs w:val="20"/>
        </w:rPr>
        <w:t xml:space="preserve"> la persona física o jurídica, pública o privada, registrada mediante autorización o comunicación que realice cualquiera de las operaciones que componen la gestión de los residuos, sea o no el productor de los mismos (art.2 de la Ley 7/2022).</w:t>
      </w:r>
    </w:p>
    <w:p w14:paraId="4E333CDC"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Plástico:</w:t>
      </w:r>
      <w:r w:rsidRPr="002B3498">
        <w:rPr>
          <w:rFonts w:ascii="Arial" w:hAnsi="Arial" w:cs="Arial"/>
          <w:sz w:val="20"/>
          <w:szCs w:val="20"/>
        </w:rPr>
        <w:t xml:space="preserve"> el material compuesto por un polímero tal como se define en el artículo 3.5 del Reglamento (CE) n.º 1907/2006 del Parlamento Europeo y del Consejo, de 18 de diciembre de 2006, relativo al registro, la evaluación, la autorización y la restricción de las sustancias y preparados químicos (REACH), por el que se crea la Agencia Europea de Sustancias y Preparados Químicos, se modifica la Directiva 1999/45/CE y se derogan el Reglamento (CEE) n.º 793/93 del Consejo y el Reglamento (CE) n.º 1488/94 de la Comisión así como la Directiva 76/769/CEE del Consejo y las Directivas 91/155/CEE, 93/67/CEE, 93/105/CE y 2000/21/CE de la Comisión, al que pueden haberse añadido aditivos u otras sustancias, y que puede funcionar como principal componente estructural de los productos finales, con la excepción de los polímeros naturales que no han sido modificados químicamente. Las pinturas, tintas y adhesivos que sean materiales poliméricos no están incluidos.</w:t>
      </w:r>
    </w:p>
    <w:p w14:paraId="1EB2991E"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Plástico biodegradable:</w:t>
      </w:r>
      <w:r w:rsidRPr="002B3498">
        <w:rPr>
          <w:rFonts w:ascii="Arial" w:hAnsi="Arial" w:cs="Arial"/>
          <w:sz w:val="20"/>
          <w:szCs w:val="20"/>
        </w:rPr>
        <w:t xml:space="preserve"> un plástico capaz de sufrir descomposición física o biológica, de modo que, en último término, se descompone en dióxido de carbono (CO2), biomasa y agua, y que, conforme a las normas europeas en materia de envases, es valorizable mediante compostaje y digestión anaerobia (art.2 de la Ley 7/2022).</w:t>
      </w:r>
    </w:p>
    <w:p w14:paraId="44A8DB88"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 xml:space="preserve">Plástico </w:t>
      </w:r>
      <w:proofErr w:type="spellStart"/>
      <w:r w:rsidRPr="002B3498">
        <w:rPr>
          <w:rFonts w:ascii="Arial" w:hAnsi="Arial" w:cs="Arial"/>
          <w:b/>
          <w:sz w:val="20"/>
          <w:szCs w:val="20"/>
        </w:rPr>
        <w:t>oxodegradable</w:t>
      </w:r>
      <w:proofErr w:type="spellEnd"/>
      <w:r w:rsidRPr="002B3498">
        <w:rPr>
          <w:rFonts w:ascii="Arial" w:hAnsi="Arial" w:cs="Arial"/>
          <w:b/>
          <w:sz w:val="20"/>
          <w:szCs w:val="20"/>
        </w:rPr>
        <w:t>:</w:t>
      </w:r>
      <w:r w:rsidRPr="002B3498">
        <w:rPr>
          <w:rFonts w:ascii="Arial" w:hAnsi="Arial" w:cs="Arial"/>
          <w:sz w:val="20"/>
          <w:szCs w:val="20"/>
        </w:rPr>
        <w:t xml:space="preserve"> materiales plásticos que incluyen aditivos, los cuales mediante oxidación, provocan la fragmentación del material plástico en </w:t>
      </w:r>
      <w:proofErr w:type="spellStart"/>
      <w:r w:rsidRPr="002B3498">
        <w:rPr>
          <w:rFonts w:ascii="Arial" w:hAnsi="Arial" w:cs="Arial"/>
          <w:sz w:val="20"/>
          <w:szCs w:val="20"/>
        </w:rPr>
        <w:t>microfragmentos</w:t>
      </w:r>
      <w:proofErr w:type="spellEnd"/>
      <w:r w:rsidRPr="002B3498">
        <w:rPr>
          <w:rFonts w:ascii="Arial" w:hAnsi="Arial" w:cs="Arial"/>
          <w:sz w:val="20"/>
          <w:szCs w:val="20"/>
        </w:rPr>
        <w:t xml:space="preserve"> o su descomposición química (art.2 de la Ley 7/2022).</w:t>
      </w:r>
    </w:p>
    <w:p w14:paraId="1CFABCC3"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Poseedor de residuos:</w:t>
      </w:r>
      <w:r w:rsidRPr="002B3498">
        <w:rPr>
          <w:rFonts w:ascii="Arial" w:hAnsi="Arial" w:cs="Arial"/>
          <w:sz w:val="20"/>
          <w:szCs w:val="20"/>
        </w:rPr>
        <w:t xml:space="preserve"> el productor de residuos u otra persona física o jurídica que esté en posesión de residuos. Se considerará poseedor de residuos al titular catastral de la parcela en la que se localicen residuos abandonados o basura dispersa, siendo responsable administrativo de dichos residuos, salvo en aquellos casos en los que sea posible identificar al autor material del abandono o poseedor anterior (art.2 de la Ley 7/2022).</w:t>
      </w:r>
    </w:p>
    <w:p w14:paraId="5A283BD6"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 xml:space="preserve">Preparación para la reutilización: </w:t>
      </w:r>
      <w:r w:rsidRPr="002B3498">
        <w:rPr>
          <w:rFonts w:ascii="Arial" w:hAnsi="Arial" w:cs="Arial"/>
          <w:sz w:val="20"/>
          <w:szCs w:val="20"/>
        </w:rPr>
        <w:t>la operación de valorización consistente en la comprobación, limpieza o reparación, mediante la cual productos o componentes de productos que se hayan convertido en residuos se preparan para que puedan reutilizarse sin ninguna otra transformación previa y dejen de ser considerados residuos si cumplen las normas de producto aplicables de tipo técnico y de consumo (art.2 de la Ley 7/2022).</w:t>
      </w:r>
    </w:p>
    <w:p w14:paraId="548C6705"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Reciclado:</w:t>
      </w:r>
      <w:r w:rsidRPr="002B3498">
        <w:rPr>
          <w:rFonts w:ascii="Arial" w:hAnsi="Arial" w:cs="Arial"/>
          <w:sz w:val="20"/>
          <w:szCs w:val="20"/>
        </w:rPr>
        <w:t xml:space="preserve"> toda operación de valorización mediante la cual los materiales de residuos son transformados de nuevo en productos, materiales o sustancias, tanto si es con la finalidad original como con cualquier otra finalidad. Incluye la transformación del material orgánico, pero no la valorización energética ni la transformación en materiales que se vayan a usar como combustibles o para operaciones de relleno (art.2 de la Ley 7/2022).</w:t>
      </w:r>
    </w:p>
    <w:p w14:paraId="29590256"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Recogida:</w:t>
      </w:r>
      <w:r w:rsidRPr="002B3498">
        <w:rPr>
          <w:rFonts w:ascii="Arial" w:hAnsi="Arial" w:cs="Arial"/>
          <w:sz w:val="20"/>
          <w:szCs w:val="20"/>
        </w:rPr>
        <w:t xml:space="preserve"> operación consistente en el acopio, la clasificación y almacenamiento iniciales de residuos, de manera profesional, con el objeto de transportarlos posteriormente a una instalación de tratamiento (art.2 de la Ley 7/2022).</w:t>
      </w:r>
    </w:p>
    <w:p w14:paraId="56BB56B6"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Recogida separada:</w:t>
      </w:r>
      <w:r w:rsidRPr="002B3498">
        <w:rPr>
          <w:rFonts w:ascii="Arial" w:hAnsi="Arial" w:cs="Arial"/>
          <w:sz w:val="20"/>
          <w:szCs w:val="20"/>
        </w:rPr>
        <w:t xml:space="preserve"> la recogida en la que un flujo de residuos se mantiene por separado, según su tipo y naturaleza, para facilitar un tratamiento específico (art.2 de la Ley 7/2022).</w:t>
      </w:r>
    </w:p>
    <w:p w14:paraId="6BFA6A2B"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Relleno:</w:t>
      </w:r>
      <w:r w:rsidRPr="002B3498">
        <w:rPr>
          <w:rFonts w:ascii="Arial" w:hAnsi="Arial" w:cs="Arial"/>
          <w:sz w:val="20"/>
          <w:szCs w:val="20"/>
        </w:rPr>
        <w:t xml:space="preserve"> toda operación de valorización en la que se utilizan residuos no peligrosos aptos para fines de regeneración en zonas excavadas o para obras de ingeniería paisajística. Los residuos empleados para relleno deben sustituir a materiales que no sean residuos y ser aptos para los fines mencionados anteriormente y estar limitados a la cantidad estrictamente necesaria para lograr dichos fines. En el caso de que las operaciones de relleno vayan encaminadas a la regeneración de zonas excavadas, estas operaciones deben venir justificadas por la necesidad de restituir la topografía original del terreno (art.2 de la Ley 7/2022).</w:t>
      </w:r>
    </w:p>
    <w:p w14:paraId="00C7DC9A"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 xml:space="preserve">Residuo: </w:t>
      </w:r>
      <w:r w:rsidRPr="002B3498">
        <w:rPr>
          <w:rFonts w:ascii="Arial" w:hAnsi="Arial" w:cs="Arial"/>
          <w:sz w:val="20"/>
          <w:szCs w:val="20"/>
        </w:rPr>
        <w:t>cualquier sustancia u objeto que su poseedor deseche o tenga la intención o la obligación de desechar (art.2 de la Ley 7/2022).</w:t>
      </w:r>
    </w:p>
    <w:p w14:paraId="0E669F7E"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Residuo no peligroso:</w:t>
      </w:r>
      <w:r w:rsidRPr="002B3498">
        <w:rPr>
          <w:rFonts w:ascii="Arial" w:hAnsi="Arial" w:cs="Arial"/>
          <w:sz w:val="20"/>
          <w:szCs w:val="20"/>
        </w:rPr>
        <w:t xml:space="preserve"> residuo que no está cubierto por lo definido como residuo peligroso (art.2 de la Ley 7/2022).</w:t>
      </w:r>
    </w:p>
    <w:p w14:paraId="12016A50"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Residuo peligroso:</w:t>
      </w:r>
      <w:r w:rsidRPr="002B3498">
        <w:rPr>
          <w:rFonts w:ascii="Arial" w:hAnsi="Arial" w:cs="Arial"/>
          <w:sz w:val="20"/>
          <w:szCs w:val="20"/>
        </w:rPr>
        <w:t xml:space="preserve"> residuo que presenta una o varias de las características de peligrosidad enumeradas en el anexo I de la Ley 7/2022 y aquél que sea calificado como residuo peligroso por el Gobierno de conformidad con lo establecido en la normativa de la Unión Europea o en los convenios internacionales de los que España sea parte. También se comprenden en esta definición los recipientes y envases que contengan restos de sustancias o preparados peligrosos o estén contaminados por ellos, a no ser que se demuestre que no presentan ninguna de las características de peligrosidad enumeradas en el anexo I (art.2 de la Ley 7/2022).</w:t>
      </w:r>
    </w:p>
    <w:p w14:paraId="5B582D41"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Residuos agrarios y silvícolas</w:t>
      </w:r>
      <w:r w:rsidRPr="002B3498">
        <w:rPr>
          <w:rFonts w:ascii="Arial" w:hAnsi="Arial" w:cs="Arial"/>
          <w:sz w:val="20"/>
          <w:szCs w:val="20"/>
        </w:rPr>
        <w:t>: residuos generados por las actividades agrícolas, ganaderas y silvícolas (art.2 de la Ley 7/2022).</w:t>
      </w:r>
    </w:p>
    <w:p w14:paraId="60CD02EC"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Residuos de construcción y demolición:</w:t>
      </w:r>
      <w:r w:rsidRPr="002B3498">
        <w:rPr>
          <w:rFonts w:ascii="Arial" w:hAnsi="Arial" w:cs="Arial"/>
          <w:sz w:val="20"/>
          <w:szCs w:val="20"/>
        </w:rPr>
        <w:t xml:space="preserve"> residuos generados por las actividades de construcción y demolición (art.2 de la Ley 7/2022).</w:t>
      </w:r>
    </w:p>
    <w:p w14:paraId="33F5F3E6"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Residuos domésticos:</w:t>
      </w:r>
      <w:r w:rsidRPr="002B3498">
        <w:rPr>
          <w:rFonts w:ascii="Arial" w:hAnsi="Arial" w:cs="Arial"/>
          <w:sz w:val="20"/>
          <w:szCs w:val="20"/>
        </w:rPr>
        <w:t xml:space="preserve"> residuos peligrosos o no peligrosos generados en los hogares como consecuencia de las actividades domésticas. Se consideran también residuos domésticos los similares en composición y cantidad a los anteriores generados en servicios e industrias, que no se generen como consecuencia de la actividad propia del servicio o industria.</w:t>
      </w:r>
    </w:p>
    <w:p w14:paraId="7D9A8210"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sz w:val="20"/>
          <w:szCs w:val="20"/>
        </w:rPr>
        <w:t>Se incluyen también en esta categoría los residuos que se generan en los hogares de, entre otros, aceites de cocina usados, aparatos eléctricos y electrónicos, textil, pilas, acumuladores, muebles, enseres y colchones, así como los residuos y escombros procedentes de obras menores de construcción y reparación domiciliaria.</w:t>
      </w:r>
    </w:p>
    <w:p w14:paraId="2B7C92E7"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sz w:val="20"/>
          <w:szCs w:val="20"/>
        </w:rPr>
        <w:t>Tendrán la consideración de residuos domésticos, los residuos procedentes de la limpieza de vías públicas, zonas verdes, áreas recreativas y playas, los animales domésticos muertos y los vehículos abandonados (art.2 de la Ley 7/2022).</w:t>
      </w:r>
    </w:p>
    <w:p w14:paraId="651C81C1"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Residuo inerte:</w:t>
      </w:r>
      <w:r w:rsidRPr="002B3498">
        <w:rPr>
          <w:rFonts w:ascii="Arial" w:hAnsi="Arial" w:cs="Arial"/>
          <w:sz w:val="20"/>
          <w:szCs w:val="20"/>
        </w:rPr>
        <w:t xml:space="preserve"> aquel residuo no peligroso que no experimenta transformaciones físicas, químicas o biológicas significativas, no es soluble ni combustible, ni reacciona física ni químicamente ni de ninguna otra manera, no es biodegradable, no afecta negativamente a otras materias con las cuales entra en contacto de forma que pueda dar lugar a contaminación del medio ambiente o perjudicar a la salud humana. La </w:t>
      </w:r>
      <w:proofErr w:type="spellStart"/>
      <w:r w:rsidRPr="002B3498">
        <w:rPr>
          <w:rFonts w:ascii="Arial" w:hAnsi="Arial" w:cs="Arial"/>
          <w:sz w:val="20"/>
          <w:szCs w:val="20"/>
        </w:rPr>
        <w:t>lixiviabilidad</w:t>
      </w:r>
      <w:proofErr w:type="spellEnd"/>
      <w:r w:rsidRPr="002B3498">
        <w:rPr>
          <w:rFonts w:ascii="Arial" w:hAnsi="Arial" w:cs="Arial"/>
          <w:sz w:val="20"/>
          <w:szCs w:val="20"/>
        </w:rPr>
        <w:t xml:space="preserve"> total, el contenido de contaminantes del residuo y la </w:t>
      </w:r>
      <w:proofErr w:type="spellStart"/>
      <w:r w:rsidRPr="002B3498">
        <w:rPr>
          <w:rFonts w:ascii="Arial" w:hAnsi="Arial" w:cs="Arial"/>
          <w:sz w:val="20"/>
          <w:szCs w:val="20"/>
        </w:rPr>
        <w:t>ecotoxicidad</w:t>
      </w:r>
      <w:proofErr w:type="spellEnd"/>
      <w:r w:rsidRPr="002B3498">
        <w:rPr>
          <w:rFonts w:ascii="Arial" w:hAnsi="Arial" w:cs="Arial"/>
          <w:sz w:val="20"/>
          <w:szCs w:val="20"/>
        </w:rPr>
        <w:t xml:space="preserve"> del lixiviado deberán ser insignificantes, y en particular no deberán suponer un riesgo para la calidad de las aguas superficiales o subterráneas (art.2 del Real Decreto 105/2008).</w:t>
      </w:r>
    </w:p>
    <w:p w14:paraId="11AAC127"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t>Tratamiento:</w:t>
      </w:r>
      <w:r w:rsidRPr="002B3498">
        <w:rPr>
          <w:rFonts w:ascii="Arial" w:hAnsi="Arial" w:cs="Arial"/>
          <w:sz w:val="20"/>
          <w:szCs w:val="20"/>
        </w:rPr>
        <w:t xml:space="preserve"> las operaciones de valorización o eliminación, incluida la preparación anterior a la valorización o eliminación (art.2 de la Ley 7/2022).</w:t>
      </w:r>
    </w:p>
    <w:p w14:paraId="5EC0A831" w14:textId="77777777" w:rsidR="002B3498" w:rsidRDefault="002B3498" w:rsidP="002B3498">
      <w:pPr>
        <w:pStyle w:val="Default"/>
        <w:spacing w:line="360" w:lineRule="auto"/>
        <w:jc w:val="both"/>
        <w:rPr>
          <w:rFonts w:ascii="Arial" w:hAnsi="Arial" w:cs="Arial"/>
          <w:sz w:val="20"/>
          <w:szCs w:val="20"/>
        </w:rPr>
      </w:pPr>
      <w:r w:rsidRPr="002B3498">
        <w:rPr>
          <w:rFonts w:ascii="Arial" w:hAnsi="Arial" w:cs="Arial"/>
          <w:b/>
          <w:sz w:val="20"/>
          <w:szCs w:val="20"/>
        </w:rPr>
        <w:lastRenderedPageBreak/>
        <w:t>Valorización:</w:t>
      </w:r>
      <w:r w:rsidRPr="002B3498">
        <w:rPr>
          <w:rFonts w:ascii="Arial" w:hAnsi="Arial" w:cs="Arial"/>
          <w:sz w:val="20"/>
          <w:szCs w:val="20"/>
        </w:rPr>
        <w:t xml:space="preserve"> cualquier operación cuyo resultado principal sea que el residuo sirva a una finalidad útil al sustituir a otros materiales, que de otro modo se habrían utilizado para cumplir una función particular o que el residuo sea preparado para cumplir esa función en la instalación o en la economía en general. En el anexo II, se recoge una lista no exhaustiva de operaciones de valorización (art.2 de la Ley 7/2022).</w:t>
      </w:r>
    </w:p>
    <w:p w14:paraId="489F886A" w14:textId="77777777" w:rsidR="002B3498" w:rsidRPr="002B3498" w:rsidRDefault="002B3498" w:rsidP="002B3498">
      <w:pPr>
        <w:pStyle w:val="Default"/>
        <w:spacing w:line="360" w:lineRule="auto"/>
        <w:jc w:val="both"/>
        <w:rPr>
          <w:rFonts w:ascii="Arial" w:hAnsi="Arial" w:cs="Arial"/>
          <w:sz w:val="20"/>
          <w:szCs w:val="20"/>
        </w:rPr>
      </w:pPr>
    </w:p>
    <w:p w14:paraId="20015464" w14:textId="77777777" w:rsidR="002B3498" w:rsidRPr="002B3498" w:rsidRDefault="002B3498" w:rsidP="002B3498">
      <w:pPr>
        <w:pStyle w:val="Default"/>
        <w:spacing w:line="360" w:lineRule="auto"/>
        <w:jc w:val="both"/>
        <w:rPr>
          <w:rFonts w:ascii="Arial" w:hAnsi="Arial" w:cs="Arial"/>
          <w:sz w:val="20"/>
          <w:szCs w:val="20"/>
        </w:rPr>
      </w:pPr>
    </w:p>
    <w:p w14:paraId="6E0F4C14" w14:textId="77777777" w:rsidR="002B3498" w:rsidRDefault="002B3498" w:rsidP="002B3498">
      <w:pPr>
        <w:pStyle w:val="Ttulo1"/>
      </w:pPr>
      <w:r w:rsidRPr="002B3498">
        <w:t>CLASIFICACIÓN Y ESTIMACIÓN DE RESIDUOS</w:t>
      </w:r>
    </w:p>
    <w:p w14:paraId="080BD2B8" w14:textId="77777777" w:rsidR="002B3498" w:rsidRPr="002B3498" w:rsidRDefault="002B3498" w:rsidP="002B3498"/>
    <w:p w14:paraId="5BE68D9B"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sz w:val="20"/>
          <w:szCs w:val="20"/>
        </w:rPr>
        <w:t>En la zona del proyecto nos encontramos una acumulación de residuos de construcción y demolición. El resto de la zona presenta un volumen de vertido menor y discontinuo de variada tipología.</w:t>
      </w:r>
    </w:p>
    <w:p w14:paraId="36D35457"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sz w:val="20"/>
          <w:szCs w:val="20"/>
        </w:rPr>
        <w:t xml:space="preserve">A continuación se procede a la identificación y clasificación de los </w:t>
      </w:r>
      <w:proofErr w:type="spellStart"/>
      <w:r w:rsidRPr="002B3498">
        <w:rPr>
          <w:rFonts w:ascii="Arial" w:hAnsi="Arial" w:cs="Arial"/>
          <w:sz w:val="20"/>
          <w:szCs w:val="20"/>
        </w:rPr>
        <w:t>residuosrecogidos</w:t>
      </w:r>
      <w:proofErr w:type="spellEnd"/>
      <w:r w:rsidRPr="002B3498">
        <w:rPr>
          <w:rFonts w:ascii="Arial" w:hAnsi="Arial" w:cs="Arial"/>
          <w:sz w:val="20"/>
          <w:szCs w:val="20"/>
        </w:rPr>
        <w:t>/generados en la ejecución del proyecto y se hará de conformidad con la lista establecida en la Decisión 2014/955/UE de la Comisión, de 18 de diciembre de 2014, por la que se modifica la Decisión 2000/532/CE, sobre la lista de residuos (código LER), de conformidad con la Directiva 2008/98/CE del Parlamento Europeo y del Consejo.</w:t>
      </w:r>
    </w:p>
    <w:p w14:paraId="6457700F" w14:textId="77777777" w:rsidR="002B3498" w:rsidRPr="002B3498" w:rsidRDefault="002B3498" w:rsidP="002B3498">
      <w:pPr>
        <w:pStyle w:val="Default"/>
        <w:spacing w:line="360" w:lineRule="auto"/>
        <w:jc w:val="both"/>
        <w:rPr>
          <w:rFonts w:ascii="Arial" w:hAnsi="Arial" w:cs="Arial"/>
          <w:sz w:val="20"/>
          <w:szCs w:val="20"/>
        </w:rPr>
      </w:pPr>
    </w:p>
    <w:p w14:paraId="0972E338" w14:textId="1D3DC481" w:rsidR="002B3498" w:rsidRDefault="002B3498" w:rsidP="00206D99">
      <w:pPr>
        <w:pStyle w:val="Ttulo2"/>
      </w:pPr>
      <w:r w:rsidRPr="002B3498">
        <w:t>CLASIFICACIÓN Y DESCRIPCIÓN DE LOS RESIDUOS DEL PROYECTO</w:t>
      </w:r>
    </w:p>
    <w:p w14:paraId="397338B0" w14:textId="77777777" w:rsidR="002B3498" w:rsidRPr="002B3498" w:rsidRDefault="002B3498" w:rsidP="002B3498">
      <w:pPr>
        <w:spacing w:line="240" w:lineRule="auto"/>
      </w:pPr>
    </w:p>
    <w:p w14:paraId="178380D0" w14:textId="77777777" w:rsidR="002B3498" w:rsidRDefault="002B3498" w:rsidP="00206D99">
      <w:pPr>
        <w:pStyle w:val="Ttulo2"/>
      </w:pPr>
      <w:r w:rsidRPr="002B3498">
        <w:t>RESIDUOS NO PELIGROSOS</w:t>
      </w:r>
    </w:p>
    <w:p w14:paraId="65A838BE" w14:textId="77777777" w:rsidR="002B3498" w:rsidRPr="002B3498" w:rsidRDefault="002B3498" w:rsidP="002B3498"/>
    <w:tbl>
      <w:tblPr>
        <w:tblStyle w:val="Tablaconcuadrcula"/>
        <w:tblW w:w="0" w:type="auto"/>
        <w:jc w:val="center"/>
        <w:tblLook w:val="04A0" w:firstRow="1" w:lastRow="0" w:firstColumn="1" w:lastColumn="0" w:noHBand="0" w:noVBand="1"/>
      </w:tblPr>
      <w:tblGrid>
        <w:gridCol w:w="1271"/>
        <w:gridCol w:w="8369"/>
      </w:tblGrid>
      <w:tr w:rsidR="002B3498" w:rsidRPr="002B3498" w14:paraId="39AA7FC9" w14:textId="77777777" w:rsidTr="002B3498">
        <w:trPr>
          <w:trHeight w:val="567"/>
          <w:jc w:val="center"/>
        </w:trPr>
        <w:tc>
          <w:tcPr>
            <w:tcW w:w="1271" w:type="dxa"/>
            <w:shd w:val="pct15" w:color="auto" w:fill="auto"/>
            <w:vAlign w:val="center"/>
          </w:tcPr>
          <w:p w14:paraId="2AF15825"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t>02</w:t>
            </w:r>
          </w:p>
        </w:tc>
        <w:tc>
          <w:tcPr>
            <w:tcW w:w="8369" w:type="dxa"/>
            <w:shd w:val="pct15" w:color="auto" w:fill="auto"/>
            <w:vAlign w:val="center"/>
          </w:tcPr>
          <w:p w14:paraId="07CF6035"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t>RESIDUOS DE LA AGRICULTURA, HORTICULTURA, ACUICULTURA, SILVICULTURA, CAZA Y PESCA; RESIDUOS DE LA PREPARACIÓN Y ELABORACIÓN DE ALIMENTOS</w:t>
            </w:r>
          </w:p>
        </w:tc>
      </w:tr>
      <w:tr w:rsidR="002B3498" w:rsidRPr="002B3498" w14:paraId="7EA83DDE" w14:textId="77777777" w:rsidTr="002B3498">
        <w:trPr>
          <w:trHeight w:val="567"/>
          <w:jc w:val="center"/>
        </w:trPr>
        <w:tc>
          <w:tcPr>
            <w:tcW w:w="1271" w:type="dxa"/>
            <w:shd w:val="pct15" w:color="auto" w:fill="auto"/>
            <w:vAlign w:val="center"/>
          </w:tcPr>
          <w:p w14:paraId="5CF51424"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02 01</w:t>
            </w:r>
          </w:p>
        </w:tc>
        <w:tc>
          <w:tcPr>
            <w:tcW w:w="8369" w:type="dxa"/>
            <w:shd w:val="pct15" w:color="auto" w:fill="auto"/>
            <w:vAlign w:val="center"/>
          </w:tcPr>
          <w:p w14:paraId="411285EA"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Residuos de la agricultura, horticultura, acuicultura, silvicultura, caza y pesca</w:t>
            </w:r>
          </w:p>
        </w:tc>
      </w:tr>
      <w:tr w:rsidR="002B3498" w:rsidRPr="002B3498" w14:paraId="17224430" w14:textId="77777777" w:rsidTr="002B3498">
        <w:trPr>
          <w:trHeight w:val="567"/>
          <w:jc w:val="center"/>
        </w:trPr>
        <w:tc>
          <w:tcPr>
            <w:tcW w:w="1271" w:type="dxa"/>
            <w:vAlign w:val="center"/>
          </w:tcPr>
          <w:p w14:paraId="175A6204"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02 01 07</w:t>
            </w:r>
          </w:p>
        </w:tc>
        <w:tc>
          <w:tcPr>
            <w:tcW w:w="8369" w:type="dxa"/>
            <w:vAlign w:val="center"/>
          </w:tcPr>
          <w:p w14:paraId="016EEA61"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Residuos de la silvicultura</w:t>
            </w:r>
          </w:p>
        </w:tc>
      </w:tr>
      <w:tr w:rsidR="002B3498" w:rsidRPr="002B3498" w14:paraId="42288820" w14:textId="77777777" w:rsidTr="002B3498">
        <w:trPr>
          <w:trHeight w:val="567"/>
          <w:jc w:val="center"/>
        </w:trPr>
        <w:tc>
          <w:tcPr>
            <w:tcW w:w="1271" w:type="dxa"/>
            <w:tcBorders>
              <w:bottom w:val="single" w:sz="4" w:space="0" w:color="auto"/>
            </w:tcBorders>
            <w:vAlign w:val="center"/>
          </w:tcPr>
          <w:p w14:paraId="189E9AB7"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02 01 10</w:t>
            </w:r>
          </w:p>
        </w:tc>
        <w:tc>
          <w:tcPr>
            <w:tcW w:w="8369" w:type="dxa"/>
            <w:tcBorders>
              <w:bottom w:val="single" w:sz="4" w:space="0" w:color="auto"/>
            </w:tcBorders>
            <w:vAlign w:val="center"/>
          </w:tcPr>
          <w:p w14:paraId="17A22315"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Residuos metálicos</w:t>
            </w:r>
          </w:p>
        </w:tc>
      </w:tr>
      <w:tr w:rsidR="002B3498" w:rsidRPr="002B3498" w14:paraId="3C8D5699" w14:textId="77777777" w:rsidTr="002B3498">
        <w:trPr>
          <w:trHeight w:val="567"/>
          <w:jc w:val="center"/>
        </w:trPr>
        <w:tc>
          <w:tcPr>
            <w:tcW w:w="1271" w:type="dxa"/>
            <w:shd w:val="pct15" w:color="auto" w:fill="auto"/>
            <w:vAlign w:val="center"/>
          </w:tcPr>
          <w:p w14:paraId="27FB0B41"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t>15</w:t>
            </w:r>
          </w:p>
        </w:tc>
        <w:tc>
          <w:tcPr>
            <w:tcW w:w="8369" w:type="dxa"/>
            <w:shd w:val="pct15" w:color="auto" w:fill="auto"/>
            <w:vAlign w:val="center"/>
          </w:tcPr>
          <w:p w14:paraId="64EB93AE" w14:textId="77777777" w:rsidR="002B3498" w:rsidRPr="002B3498" w:rsidRDefault="002B3498" w:rsidP="005D551C">
            <w:pPr>
              <w:pStyle w:val="Default"/>
              <w:rPr>
                <w:rFonts w:ascii="Arial" w:hAnsi="Arial" w:cs="Arial"/>
                <w:b/>
                <w:bCs/>
                <w:sz w:val="20"/>
                <w:szCs w:val="20"/>
              </w:rPr>
            </w:pPr>
            <w:r w:rsidRPr="002B3498">
              <w:rPr>
                <w:rFonts w:ascii="Arial" w:hAnsi="Arial" w:cs="Arial"/>
                <w:b/>
                <w:sz w:val="20"/>
                <w:szCs w:val="20"/>
              </w:rPr>
              <w:t>RESIDUOS DE ENVASES; ABSORBENTES, TRAPOS DE LIMPIEZA, MATERIALES DE FILTRACIÓN Y ROPAS DE PROTECCIÓN NO ESPECIFICADOS EN OTRA CATEGORÍA</w:t>
            </w:r>
          </w:p>
        </w:tc>
      </w:tr>
      <w:tr w:rsidR="002B3498" w:rsidRPr="002B3498" w14:paraId="4173AEC0" w14:textId="77777777" w:rsidTr="002B3498">
        <w:trPr>
          <w:trHeight w:val="567"/>
          <w:jc w:val="center"/>
        </w:trPr>
        <w:tc>
          <w:tcPr>
            <w:tcW w:w="1271" w:type="dxa"/>
            <w:shd w:val="pct15" w:color="auto" w:fill="auto"/>
            <w:vAlign w:val="center"/>
          </w:tcPr>
          <w:p w14:paraId="15400400"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15 01</w:t>
            </w:r>
          </w:p>
        </w:tc>
        <w:tc>
          <w:tcPr>
            <w:tcW w:w="8369" w:type="dxa"/>
            <w:shd w:val="pct15" w:color="auto" w:fill="auto"/>
            <w:vAlign w:val="center"/>
          </w:tcPr>
          <w:p w14:paraId="53E6345D"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Envases (incluidos los residuos de envases de la recogida selectiva municipal)</w:t>
            </w:r>
          </w:p>
        </w:tc>
      </w:tr>
      <w:tr w:rsidR="002B3498" w:rsidRPr="002B3498" w14:paraId="496D52C4" w14:textId="77777777" w:rsidTr="002B3498">
        <w:trPr>
          <w:trHeight w:val="567"/>
          <w:jc w:val="center"/>
        </w:trPr>
        <w:tc>
          <w:tcPr>
            <w:tcW w:w="1271" w:type="dxa"/>
            <w:vAlign w:val="center"/>
          </w:tcPr>
          <w:p w14:paraId="0E03C2DC"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15 01 01</w:t>
            </w:r>
          </w:p>
        </w:tc>
        <w:tc>
          <w:tcPr>
            <w:tcW w:w="8369" w:type="dxa"/>
            <w:vAlign w:val="center"/>
          </w:tcPr>
          <w:p w14:paraId="415733DC"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Envases de papel y cartón</w:t>
            </w:r>
          </w:p>
        </w:tc>
      </w:tr>
      <w:tr w:rsidR="002B3498" w:rsidRPr="002B3498" w14:paraId="77883F30" w14:textId="77777777" w:rsidTr="002B3498">
        <w:trPr>
          <w:trHeight w:val="567"/>
          <w:jc w:val="center"/>
        </w:trPr>
        <w:tc>
          <w:tcPr>
            <w:tcW w:w="1271" w:type="dxa"/>
            <w:vAlign w:val="center"/>
          </w:tcPr>
          <w:p w14:paraId="020D0CDD"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15 01 02</w:t>
            </w:r>
          </w:p>
        </w:tc>
        <w:tc>
          <w:tcPr>
            <w:tcW w:w="8369" w:type="dxa"/>
            <w:vAlign w:val="center"/>
          </w:tcPr>
          <w:p w14:paraId="49B31DBA"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Envases de plástico</w:t>
            </w:r>
          </w:p>
        </w:tc>
      </w:tr>
      <w:tr w:rsidR="002B3498" w:rsidRPr="002B3498" w14:paraId="78E8D31B" w14:textId="77777777" w:rsidTr="002B3498">
        <w:trPr>
          <w:trHeight w:val="567"/>
          <w:jc w:val="center"/>
        </w:trPr>
        <w:tc>
          <w:tcPr>
            <w:tcW w:w="1271" w:type="dxa"/>
            <w:vAlign w:val="center"/>
          </w:tcPr>
          <w:p w14:paraId="40ED0461"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15 01 03</w:t>
            </w:r>
          </w:p>
        </w:tc>
        <w:tc>
          <w:tcPr>
            <w:tcW w:w="8369" w:type="dxa"/>
            <w:vAlign w:val="center"/>
          </w:tcPr>
          <w:p w14:paraId="5FCDE576"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Envases de madera</w:t>
            </w:r>
          </w:p>
        </w:tc>
      </w:tr>
      <w:tr w:rsidR="002B3498" w:rsidRPr="002B3498" w14:paraId="6E0E58BE" w14:textId="77777777" w:rsidTr="002B3498">
        <w:trPr>
          <w:trHeight w:val="567"/>
          <w:jc w:val="center"/>
        </w:trPr>
        <w:tc>
          <w:tcPr>
            <w:tcW w:w="1271" w:type="dxa"/>
            <w:vAlign w:val="center"/>
          </w:tcPr>
          <w:p w14:paraId="16F79A96"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15 01 04</w:t>
            </w:r>
          </w:p>
        </w:tc>
        <w:tc>
          <w:tcPr>
            <w:tcW w:w="8369" w:type="dxa"/>
            <w:vAlign w:val="center"/>
          </w:tcPr>
          <w:p w14:paraId="33F235FF"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Envases metálicos</w:t>
            </w:r>
          </w:p>
        </w:tc>
      </w:tr>
      <w:tr w:rsidR="002B3498" w:rsidRPr="002B3498" w14:paraId="4B976686" w14:textId="77777777" w:rsidTr="002B3498">
        <w:trPr>
          <w:trHeight w:val="567"/>
          <w:jc w:val="center"/>
        </w:trPr>
        <w:tc>
          <w:tcPr>
            <w:tcW w:w="1271" w:type="dxa"/>
            <w:tcBorders>
              <w:bottom w:val="single" w:sz="4" w:space="0" w:color="auto"/>
            </w:tcBorders>
            <w:vAlign w:val="center"/>
          </w:tcPr>
          <w:p w14:paraId="376F5A73"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15 01 07</w:t>
            </w:r>
          </w:p>
        </w:tc>
        <w:tc>
          <w:tcPr>
            <w:tcW w:w="8369" w:type="dxa"/>
            <w:tcBorders>
              <w:bottom w:val="single" w:sz="4" w:space="0" w:color="auto"/>
            </w:tcBorders>
            <w:vAlign w:val="center"/>
          </w:tcPr>
          <w:p w14:paraId="45EDB722"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Envases de vidrio</w:t>
            </w:r>
          </w:p>
        </w:tc>
      </w:tr>
      <w:tr w:rsidR="002B3498" w:rsidRPr="002B3498" w14:paraId="434BC383" w14:textId="77777777" w:rsidTr="002B3498">
        <w:trPr>
          <w:trHeight w:val="567"/>
          <w:jc w:val="center"/>
        </w:trPr>
        <w:tc>
          <w:tcPr>
            <w:tcW w:w="1271" w:type="dxa"/>
            <w:shd w:val="pct15" w:color="auto" w:fill="auto"/>
            <w:vAlign w:val="center"/>
          </w:tcPr>
          <w:p w14:paraId="0A44EDFC"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t>16</w:t>
            </w:r>
          </w:p>
        </w:tc>
        <w:tc>
          <w:tcPr>
            <w:tcW w:w="8369" w:type="dxa"/>
            <w:shd w:val="pct15" w:color="auto" w:fill="auto"/>
            <w:vAlign w:val="center"/>
          </w:tcPr>
          <w:p w14:paraId="116AA515" w14:textId="77777777" w:rsidR="002B3498" w:rsidRPr="002B3498" w:rsidRDefault="002B3498" w:rsidP="005D551C">
            <w:pPr>
              <w:pStyle w:val="Default"/>
              <w:rPr>
                <w:rFonts w:ascii="Arial" w:hAnsi="Arial" w:cs="Arial"/>
                <w:b/>
                <w:bCs/>
                <w:sz w:val="20"/>
                <w:szCs w:val="20"/>
              </w:rPr>
            </w:pPr>
            <w:r w:rsidRPr="002B3498">
              <w:rPr>
                <w:rFonts w:ascii="Arial" w:hAnsi="Arial" w:cs="Arial"/>
                <w:b/>
                <w:sz w:val="20"/>
                <w:szCs w:val="20"/>
              </w:rPr>
              <w:t>RESIDUOS NO ESPECIFICADOS EN OTRO CAPÍTULO DE LA LISTA</w:t>
            </w:r>
          </w:p>
        </w:tc>
      </w:tr>
      <w:tr w:rsidR="002B3498" w:rsidRPr="002B3498" w14:paraId="1292B44A" w14:textId="77777777" w:rsidTr="002B3498">
        <w:trPr>
          <w:trHeight w:val="567"/>
          <w:jc w:val="center"/>
        </w:trPr>
        <w:tc>
          <w:tcPr>
            <w:tcW w:w="1271" w:type="dxa"/>
            <w:shd w:val="pct15" w:color="auto" w:fill="auto"/>
            <w:vAlign w:val="center"/>
          </w:tcPr>
          <w:p w14:paraId="4C984ADC"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16 01</w:t>
            </w:r>
          </w:p>
        </w:tc>
        <w:tc>
          <w:tcPr>
            <w:tcW w:w="8369" w:type="dxa"/>
            <w:shd w:val="pct15" w:color="auto" w:fill="auto"/>
            <w:vAlign w:val="center"/>
          </w:tcPr>
          <w:p w14:paraId="097CC4B3"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Vehículos de diferentes medios de transporte (incluidas las máquinas no de carretera) al final de su vida útil y residuos del desguace de vehículos al final de su vida útil y del mantenimiento de vehículos (excepto los de los capítulos 13 y 14 y los subcapítulos 16 06 y 16 08)</w:t>
            </w:r>
          </w:p>
        </w:tc>
      </w:tr>
      <w:tr w:rsidR="002B3498" w:rsidRPr="002B3498" w14:paraId="0754A74B" w14:textId="77777777" w:rsidTr="002B3498">
        <w:trPr>
          <w:trHeight w:val="567"/>
          <w:jc w:val="center"/>
        </w:trPr>
        <w:tc>
          <w:tcPr>
            <w:tcW w:w="1271" w:type="dxa"/>
            <w:tcBorders>
              <w:bottom w:val="single" w:sz="4" w:space="0" w:color="auto"/>
            </w:tcBorders>
            <w:vAlign w:val="center"/>
          </w:tcPr>
          <w:p w14:paraId="211B2345"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16 01 03</w:t>
            </w:r>
          </w:p>
        </w:tc>
        <w:tc>
          <w:tcPr>
            <w:tcW w:w="8369" w:type="dxa"/>
            <w:tcBorders>
              <w:bottom w:val="single" w:sz="4" w:space="0" w:color="auto"/>
            </w:tcBorders>
            <w:vAlign w:val="center"/>
          </w:tcPr>
          <w:p w14:paraId="2924E43C"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Neumáticos al final de su vida útil</w:t>
            </w:r>
          </w:p>
        </w:tc>
      </w:tr>
      <w:tr w:rsidR="002B3498" w:rsidRPr="002B3498" w14:paraId="7CFAC205" w14:textId="77777777" w:rsidTr="002B3498">
        <w:trPr>
          <w:trHeight w:val="567"/>
          <w:jc w:val="center"/>
        </w:trPr>
        <w:tc>
          <w:tcPr>
            <w:tcW w:w="1271" w:type="dxa"/>
            <w:shd w:val="pct15" w:color="auto" w:fill="auto"/>
            <w:vAlign w:val="center"/>
          </w:tcPr>
          <w:p w14:paraId="55A2A563"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16 06</w:t>
            </w:r>
          </w:p>
        </w:tc>
        <w:tc>
          <w:tcPr>
            <w:tcW w:w="8369" w:type="dxa"/>
            <w:shd w:val="pct15" w:color="auto" w:fill="auto"/>
            <w:vAlign w:val="center"/>
          </w:tcPr>
          <w:p w14:paraId="5BAFA932"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Pilas y acumuladores</w:t>
            </w:r>
          </w:p>
        </w:tc>
      </w:tr>
      <w:tr w:rsidR="002B3498" w:rsidRPr="002B3498" w14:paraId="5B8A9213" w14:textId="77777777" w:rsidTr="002B3498">
        <w:trPr>
          <w:trHeight w:val="567"/>
          <w:jc w:val="center"/>
        </w:trPr>
        <w:tc>
          <w:tcPr>
            <w:tcW w:w="1271" w:type="dxa"/>
            <w:tcBorders>
              <w:bottom w:val="single" w:sz="4" w:space="0" w:color="auto"/>
            </w:tcBorders>
            <w:vAlign w:val="center"/>
          </w:tcPr>
          <w:p w14:paraId="3AF2385F"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16 06 05</w:t>
            </w:r>
          </w:p>
        </w:tc>
        <w:tc>
          <w:tcPr>
            <w:tcW w:w="8369" w:type="dxa"/>
            <w:tcBorders>
              <w:bottom w:val="single" w:sz="4" w:space="0" w:color="auto"/>
            </w:tcBorders>
            <w:vAlign w:val="center"/>
          </w:tcPr>
          <w:p w14:paraId="79696668"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Otras pilas y acumuladores</w:t>
            </w:r>
          </w:p>
        </w:tc>
      </w:tr>
      <w:tr w:rsidR="002B3498" w:rsidRPr="002B3498" w14:paraId="54746F36" w14:textId="77777777" w:rsidTr="002B3498">
        <w:trPr>
          <w:trHeight w:val="567"/>
          <w:jc w:val="center"/>
        </w:trPr>
        <w:tc>
          <w:tcPr>
            <w:tcW w:w="1271" w:type="dxa"/>
            <w:shd w:val="pct15" w:color="auto" w:fill="auto"/>
            <w:vAlign w:val="center"/>
          </w:tcPr>
          <w:p w14:paraId="6E12CB20"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t>17</w:t>
            </w:r>
          </w:p>
        </w:tc>
        <w:tc>
          <w:tcPr>
            <w:tcW w:w="8369" w:type="dxa"/>
            <w:shd w:val="pct15" w:color="auto" w:fill="auto"/>
            <w:vAlign w:val="center"/>
          </w:tcPr>
          <w:p w14:paraId="62077DDD" w14:textId="77777777" w:rsidR="002B3498" w:rsidRPr="002B3498" w:rsidRDefault="002B3498" w:rsidP="005D551C">
            <w:pPr>
              <w:pStyle w:val="Default"/>
              <w:rPr>
                <w:rFonts w:ascii="Arial" w:hAnsi="Arial" w:cs="Arial"/>
                <w:b/>
                <w:bCs/>
                <w:sz w:val="20"/>
                <w:szCs w:val="20"/>
              </w:rPr>
            </w:pPr>
            <w:r w:rsidRPr="002B3498">
              <w:rPr>
                <w:rFonts w:ascii="Arial" w:hAnsi="Arial" w:cs="Arial"/>
                <w:b/>
                <w:sz w:val="20"/>
                <w:szCs w:val="20"/>
              </w:rPr>
              <w:t>RESIDUOS DE LA CONSTRUCCIÓN Y DEMOLICIÓN (INCLUIDA LA TIERRA EXCAVADA DE ZONAS CONTAMINADAS)</w:t>
            </w:r>
          </w:p>
        </w:tc>
      </w:tr>
      <w:tr w:rsidR="002B3498" w:rsidRPr="002B3498" w14:paraId="61BF0758" w14:textId="77777777" w:rsidTr="002B3498">
        <w:trPr>
          <w:trHeight w:val="567"/>
          <w:jc w:val="center"/>
        </w:trPr>
        <w:tc>
          <w:tcPr>
            <w:tcW w:w="1271" w:type="dxa"/>
            <w:shd w:val="pct15" w:color="auto" w:fill="auto"/>
            <w:vAlign w:val="center"/>
          </w:tcPr>
          <w:p w14:paraId="11DB41FD"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17 01</w:t>
            </w:r>
          </w:p>
        </w:tc>
        <w:tc>
          <w:tcPr>
            <w:tcW w:w="8369" w:type="dxa"/>
            <w:shd w:val="pct15" w:color="auto" w:fill="auto"/>
            <w:vAlign w:val="center"/>
          </w:tcPr>
          <w:p w14:paraId="237F3272"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Hormigón, ladrillos, tejas y materiales cerámicos</w:t>
            </w:r>
          </w:p>
        </w:tc>
      </w:tr>
      <w:tr w:rsidR="002B3498" w:rsidRPr="002B3498" w14:paraId="52F7A18F" w14:textId="77777777" w:rsidTr="002B3498">
        <w:trPr>
          <w:trHeight w:val="567"/>
          <w:jc w:val="center"/>
        </w:trPr>
        <w:tc>
          <w:tcPr>
            <w:tcW w:w="1271" w:type="dxa"/>
            <w:vAlign w:val="center"/>
          </w:tcPr>
          <w:p w14:paraId="7889A331"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17 01 01</w:t>
            </w:r>
          </w:p>
        </w:tc>
        <w:tc>
          <w:tcPr>
            <w:tcW w:w="8369" w:type="dxa"/>
            <w:vAlign w:val="center"/>
          </w:tcPr>
          <w:p w14:paraId="5346820A"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Hormigón</w:t>
            </w:r>
          </w:p>
        </w:tc>
      </w:tr>
      <w:tr w:rsidR="002B3498" w:rsidRPr="002B3498" w14:paraId="04FF8B17" w14:textId="77777777" w:rsidTr="002B3498">
        <w:trPr>
          <w:trHeight w:val="567"/>
          <w:jc w:val="center"/>
        </w:trPr>
        <w:tc>
          <w:tcPr>
            <w:tcW w:w="1271" w:type="dxa"/>
            <w:vAlign w:val="center"/>
          </w:tcPr>
          <w:p w14:paraId="00FDC252"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17 01 02</w:t>
            </w:r>
          </w:p>
        </w:tc>
        <w:tc>
          <w:tcPr>
            <w:tcW w:w="8369" w:type="dxa"/>
            <w:vAlign w:val="center"/>
          </w:tcPr>
          <w:p w14:paraId="22146F53"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Ladrillos</w:t>
            </w:r>
          </w:p>
        </w:tc>
      </w:tr>
      <w:tr w:rsidR="002B3498" w:rsidRPr="002B3498" w14:paraId="7A255A47" w14:textId="77777777" w:rsidTr="002B3498">
        <w:trPr>
          <w:trHeight w:val="567"/>
          <w:jc w:val="center"/>
        </w:trPr>
        <w:tc>
          <w:tcPr>
            <w:tcW w:w="1271" w:type="dxa"/>
            <w:tcBorders>
              <w:bottom w:val="single" w:sz="4" w:space="0" w:color="auto"/>
            </w:tcBorders>
            <w:vAlign w:val="center"/>
          </w:tcPr>
          <w:p w14:paraId="5A87985B"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17 01 03</w:t>
            </w:r>
          </w:p>
        </w:tc>
        <w:tc>
          <w:tcPr>
            <w:tcW w:w="8369" w:type="dxa"/>
            <w:tcBorders>
              <w:bottom w:val="single" w:sz="4" w:space="0" w:color="auto"/>
            </w:tcBorders>
            <w:vAlign w:val="center"/>
          </w:tcPr>
          <w:p w14:paraId="1EECB696"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Tejas y materiales cerámicos</w:t>
            </w:r>
          </w:p>
        </w:tc>
      </w:tr>
      <w:tr w:rsidR="002B3498" w:rsidRPr="002B3498" w14:paraId="0F9C2E0C" w14:textId="77777777" w:rsidTr="002B3498">
        <w:trPr>
          <w:trHeight w:val="567"/>
          <w:jc w:val="center"/>
        </w:trPr>
        <w:tc>
          <w:tcPr>
            <w:tcW w:w="1271" w:type="dxa"/>
            <w:shd w:val="pct15" w:color="auto" w:fill="auto"/>
            <w:vAlign w:val="center"/>
          </w:tcPr>
          <w:p w14:paraId="06054211"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17 02</w:t>
            </w:r>
          </w:p>
        </w:tc>
        <w:tc>
          <w:tcPr>
            <w:tcW w:w="8369" w:type="dxa"/>
            <w:shd w:val="pct15" w:color="auto" w:fill="auto"/>
            <w:vAlign w:val="center"/>
          </w:tcPr>
          <w:p w14:paraId="12C44BCA"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Madera, vidrio y plástico</w:t>
            </w:r>
          </w:p>
        </w:tc>
      </w:tr>
      <w:tr w:rsidR="002B3498" w:rsidRPr="002B3498" w14:paraId="5A25287C" w14:textId="77777777" w:rsidTr="002B3498">
        <w:trPr>
          <w:trHeight w:val="567"/>
          <w:jc w:val="center"/>
        </w:trPr>
        <w:tc>
          <w:tcPr>
            <w:tcW w:w="1271" w:type="dxa"/>
            <w:vAlign w:val="center"/>
          </w:tcPr>
          <w:p w14:paraId="759F3588"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17 02 01</w:t>
            </w:r>
          </w:p>
        </w:tc>
        <w:tc>
          <w:tcPr>
            <w:tcW w:w="8369" w:type="dxa"/>
            <w:vAlign w:val="center"/>
          </w:tcPr>
          <w:p w14:paraId="77D5A4EE"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Madera</w:t>
            </w:r>
          </w:p>
        </w:tc>
      </w:tr>
      <w:tr w:rsidR="002B3498" w:rsidRPr="002B3498" w14:paraId="6E03F2CA" w14:textId="77777777" w:rsidTr="002B3498">
        <w:trPr>
          <w:trHeight w:val="567"/>
          <w:jc w:val="center"/>
        </w:trPr>
        <w:tc>
          <w:tcPr>
            <w:tcW w:w="1271" w:type="dxa"/>
            <w:vAlign w:val="center"/>
          </w:tcPr>
          <w:p w14:paraId="5E8EF7C9"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17 02 02</w:t>
            </w:r>
          </w:p>
        </w:tc>
        <w:tc>
          <w:tcPr>
            <w:tcW w:w="8369" w:type="dxa"/>
            <w:vAlign w:val="center"/>
          </w:tcPr>
          <w:p w14:paraId="2DC4B296"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Vidrio</w:t>
            </w:r>
          </w:p>
        </w:tc>
      </w:tr>
      <w:tr w:rsidR="002B3498" w:rsidRPr="002B3498" w14:paraId="3B1A5C09" w14:textId="77777777" w:rsidTr="002B3498">
        <w:trPr>
          <w:trHeight w:val="567"/>
          <w:jc w:val="center"/>
        </w:trPr>
        <w:tc>
          <w:tcPr>
            <w:tcW w:w="1271" w:type="dxa"/>
            <w:tcBorders>
              <w:bottom w:val="single" w:sz="4" w:space="0" w:color="auto"/>
            </w:tcBorders>
            <w:vAlign w:val="center"/>
          </w:tcPr>
          <w:p w14:paraId="28862878"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17 02 03</w:t>
            </w:r>
          </w:p>
        </w:tc>
        <w:tc>
          <w:tcPr>
            <w:tcW w:w="8369" w:type="dxa"/>
            <w:tcBorders>
              <w:bottom w:val="single" w:sz="4" w:space="0" w:color="auto"/>
            </w:tcBorders>
            <w:vAlign w:val="center"/>
          </w:tcPr>
          <w:p w14:paraId="3DCB4B73"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Plástico</w:t>
            </w:r>
          </w:p>
        </w:tc>
      </w:tr>
      <w:tr w:rsidR="002B3498" w:rsidRPr="002B3498" w14:paraId="7C8956C2" w14:textId="77777777" w:rsidTr="002B3498">
        <w:trPr>
          <w:trHeight w:val="567"/>
          <w:jc w:val="center"/>
        </w:trPr>
        <w:tc>
          <w:tcPr>
            <w:tcW w:w="1271" w:type="dxa"/>
            <w:shd w:val="pct15" w:color="auto" w:fill="auto"/>
            <w:vAlign w:val="center"/>
          </w:tcPr>
          <w:p w14:paraId="7D499643"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17 04</w:t>
            </w:r>
          </w:p>
        </w:tc>
        <w:tc>
          <w:tcPr>
            <w:tcW w:w="8369" w:type="dxa"/>
            <w:shd w:val="pct15" w:color="auto" w:fill="auto"/>
            <w:vAlign w:val="center"/>
          </w:tcPr>
          <w:p w14:paraId="0B16961C"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Metales (incluidas sus aleaciones)</w:t>
            </w:r>
          </w:p>
        </w:tc>
      </w:tr>
      <w:tr w:rsidR="002B3498" w:rsidRPr="002B3498" w14:paraId="4D47BAB5" w14:textId="77777777" w:rsidTr="002B3498">
        <w:trPr>
          <w:trHeight w:val="567"/>
          <w:jc w:val="center"/>
        </w:trPr>
        <w:tc>
          <w:tcPr>
            <w:tcW w:w="1271" w:type="dxa"/>
            <w:vAlign w:val="center"/>
          </w:tcPr>
          <w:p w14:paraId="3BD23F39"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17 04 05</w:t>
            </w:r>
          </w:p>
        </w:tc>
        <w:tc>
          <w:tcPr>
            <w:tcW w:w="8369" w:type="dxa"/>
            <w:vAlign w:val="center"/>
          </w:tcPr>
          <w:p w14:paraId="0BD0332B"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Hierro y acero</w:t>
            </w:r>
          </w:p>
        </w:tc>
      </w:tr>
      <w:tr w:rsidR="002B3498" w:rsidRPr="002B3498" w14:paraId="5EC337A0" w14:textId="77777777" w:rsidTr="002B3498">
        <w:trPr>
          <w:trHeight w:val="567"/>
          <w:jc w:val="center"/>
        </w:trPr>
        <w:tc>
          <w:tcPr>
            <w:tcW w:w="1271" w:type="dxa"/>
            <w:tcBorders>
              <w:bottom w:val="single" w:sz="4" w:space="0" w:color="auto"/>
            </w:tcBorders>
            <w:vAlign w:val="center"/>
          </w:tcPr>
          <w:p w14:paraId="53D29389"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17 04 07</w:t>
            </w:r>
          </w:p>
        </w:tc>
        <w:tc>
          <w:tcPr>
            <w:tcW w:w="8369" w:type="dxa"/>
            <w:tcBorders>
              <w:bottom w:val="single" w:sz="4" w:space="0" w:color="auto"/>
            </w:tcBorders>
            <w:vAlign w:val="center"/>
          </w:tcPr>
          <w:p w14:paraId="5072CA2E"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Metales mezclados</w:t>
            </w:r>
          </w:p>
        </w:tc>
      </w:tr>
      <w:tr w:rsidR="002B3498" w:rsidRPr="002B3498" w14:paraId="097284D0" w14:textId="77777777" w:rsidTr="002B3498">
        <w:trPr>
          <w:trHeight w:val="567"/>
          <w:jc w:val="center"/>
        </w:trPr>
        <w:tc>
          <w:tcPr>
            <w:tcW w:w="1271" w:type="dxa"/>
            <w:tcBorders>
              <w:bottom w:val="single" w:sz="4" w:space="0" w:color="auto"/>
            </w:tcBorders>
            <w:shd w:val="pct15" w:color="auto" w:fill="auto"/>
            <w:vAlign w:val="center"/>
          </w:tcPr>
          <w:p w14:paraId="0239EB11"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17 05</w:t>
            </w:r>
          </w:p>
        </w:tc>
        <w:tc>
          <w:tcPr>
            <w:tcW w:w="8369" w:type="dxa"/>
            <w:tcBorders>
              <w:bottom w:val="single" w:sz="4" w:space="0" w:color="auto"/>
            </w:tcBorders>
            <w:shd w:val="pct15" w:color="auto" w:fill="auto"/>
            <w:vAlign w:val="center"/>
          </w:tcPr>
          <w:p w14:paraId="02FB9AE9"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Tierra (incluida la tierra excavada de zonas contaminadas), piedras y lodos de drenaje</w:t>
            </w:r>
          </w:p>
        </w:tc>
      </w:tr>
      <w:tr w:rsidR="002B3498" w:rsidRPr="002B3498" w14:paraId="0918B966" w14:textId="77777777" w:rsidTr="002B3498">
        <w:trPr>
          <w:trHeight w:val="567"/>
          <w:jc w:val="center"/>
        </w:trPr>
        <w:tc>
          <w:tcPr>
            <w:tcW w:w="1271" w:type="dxa"/>
            <w:tcBorders>
              <w:bottom w:val="single" w:sz="4" w:space="0" w:color="auto"/>
            </w:tcBorders>
            <w:vAlign w:val="center"/>
          </w:tcPr>
          <w:p w14:paraId="095DD177"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17 05 04</w:t>
            </w:r>
          </w:p>
        </w:tc>
        <w:tc>
          <w:tcPr>
            <w:tcW w:w="8369" w:type="dxa"/>
            <w:tcBorders>
              <w:bottom w:val="single" w:sz="4" w:space="0" w:color="auto"/>
            </w:tcBorders>
            <w:vAlign w:val="center"/>
          </w:tcPr>
          <w:p w14:paraId="6F396D08"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Tierra y piedras que no contienen sustancias peligrosas</w:t>
            </w:r>
          </w:p>
        </w:tc>
      </w:tr>
      <w:tr w:rsidR="002B3498" w:rsidRPr="002B3498" w14:paraId="177B12D1" w14:textId="77777777" w:rsidTr="002B3498">
        <w:trPr>
          <w:trHeight w:val="567"/>
          <w:jc w:val="center"/>
        </w:trPr>
        <w:tc>
          <w:tcPr>
            <w:tcW w:w="1271" w:type="dxa"/>
            <w:tcBorders>
              <w:bottom w:val="single" w:sz="4" w:space="0" w:color="auto"/>
            </w:tcBorders>
            <w:vAlign w:val="center"/>
          </w:tcPr>
          <w:p w14:paraId="148D3847"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17 05 08</w:t>
            </w:r>
          </w:p>
        </w:tc>
        <w:tc>
          <w:tcPr>
            <w:tcW w:w="8369" w:type="dxa"/>
            <w:tcBorders>
              <w:bottom w:val="single" w:sz="4" w:space="0" w:color="auto"/>
            </w:tcBorders>
            <w:vAlign w:val="center"/>
          </w:tcPr>
          <w:p w14:paraId="08B4B471"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Balasto de vías férreas que no contiene sustancias peligrosas</w:t>
            </w:r>
          </w:p>
        </w:tc>
      </w:tr>
      <w:tr w:rsidR="002B3498" w:rsidRPr="002B3498" w14:paraId="3AD6357E" w14:textId="77777777" w:rsidTr="002B3498">
        <w:trPr>
          <w:trHeight w:val="567"/>
          <w:jc w:val="center"/>
        </w:trPr>
        <w:tc>
          <w:tcPr>
            <w:tcW w:w="1271" w:type="dxa"/>
            <w:tcBorders>
              <w:bottom w:val="single" w:sz="4" w:space="0" w:color="auto"/>
            </w:tcBorders>
            <w:shd w:val="pct15" w:color="auto" w:fill="auto"/>
            <w:vAlign w:val="center"/>
          </w:tcPr>
          <w:p w14:paraId="678DA581"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17 09</w:t>
            </w:r>
          </w:p>
        </w:tc>
        <w:tc>
          <w:tcPr>
            <w:tcW w:w="8369" w:type="dxa"/>
            <w:tcBorders>
              <w:bottom w:val="single" w:sz="4" w:space="0" w:color="auto"/>
            </w:tcBorders>
            <w:shd w:val="pct15" w:color="auto" w:fill="auto"/>
            <w:vAlign w:val="center"/>
          </w:tcPr>
          <w:p w14:paraId="40132DF0"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Otros residuos de construcción y demolición</w:t>
            </w:r>
          </w:p>
        </w:tc>
      </w:tr>
      <w:tr w:rsidR="002B3498" w:rsidRPr="002B3498" w14:paraId="3D9274C3" w14:textId="77777777" w:rsidTr="002B3498">
        <w:trPr>
          <w:trHeight w:val="567"/>
          <w:jc w:val="center"/>
        </w:trPr>
        <w:tc>
          <w:tcPr>
            <w:tcW w:w="1271" w:type="dxa"/>
            <w:tcBorders>
              <w:bottom w:val="single" w:sz="4" w:space="0" w:color="auto"/>
            </w:tcBorders>
            <w:shd w:val="clear" w:color="auto" w:fill="auto"/>
            <w:vAlign w:val="center"/>
          </w:tcPr>
          <w:p w14:paraId="46CEEC6E"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17 09 04</w:t>
            </w:r>
          </w:p>
        </w:tc>
        <w:tc>
          <w:tcPr>
            <w:tcW w:w="8369" w:type="dxa"/>
            <w:tcBorders>
              <w:bottom w:val="single" w:sz="4" w:space="0" w:color="auto"/>
            </w:tcBorders>
            <w:shd w:val="clear" w:color="auto" w:fill="auto"/>
            <w:vAlign w:val="center"/>
          </w:tcPr>
          <w:p w14:paraId="0B5100A5" w14:textId="77777777" w:rsidR="002B3498" w:rsidRPr="002B3498" w:rsidRDefault="002B3498" w:rsidP="005D551C">
            <w:pPr>
              <w:pStyle w:val="Default"/>
              <w:rPr>
                <w:rFonts w:ascii="Arial" w:hAnsi="Arial" w:cs="Arial"/>
                <w:bCs/>
                <w:sz w:val="20"/>
                <w:szCs w:val="20"/>
              </w:rPr>
            </w:pPr>
            <w:r w:rsidRPr="002B3498">
              <w:rPr>
                <w:rFonts w:ascii="Arial" w:hAnsi="Arial" w:cs="Arial"/>
                <w:bCs/>
                <w:sz w:val="20"/>
                <w:szCs w:val="20"/>
              </w:rPr>
              <w:t>Residuos mezclados de construcción y demolición que no contienen sustancias peligrosas</w:t>
            </w:r>
          </w:p>
        </w:tc>
      </w:tr>
      <w:tr w:rsidR="002B3498" w:rsidRPr="002B3498" w14:paraId="65ECAA8F" w14:textId="77777777" w:rsidTr="002B3498">
        <w:trPr>
          <w:trHeight w:val="567"/>
          <w:jc w:val="center"/>
        </w:trPr>
        <w:tc>
          <w:tcPr>
            <w:tcW w:w="1271" w:type="dxa"/>
            <w:shd w:val="pct15" w:color="auto" w:fill="auto"/>
            <w:vAlign w:val="center"/>
          </w:tcPr>
          <w:p w14:paraId="369626DF"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lastRenderedPageBreak/>
              <w:t>20</w:t>
            </w:r>
          </w:p>
        </w:tc>
        <w:tc>
          <w:tcPr>
            <w:tcW w:w="8369" w:type="dxa"/>
            <w:shd w:val="pct15" w:color="auto" w:fill="auto"/>
            <w:vAlign w:val="center"/>
          </w:tcPr>
          <w:p w14:paraId="395DFE2C" w14:textId="77777777" w:rsidR="002B3498" w:rsidRPr="002B3498" w:rsidRDefault="002B3498" w:rsidP="005D551C">
            <w:pPr>
              <w:pStyle w:val="Default"/>
              <w:rPr>
                <w:rFonts w:ascii="Arial" w:hAnsi="Arial" w:cs="Arial"/>
                <w:b/>
                <w:bCs/>
                <w:sz w:val="20"/>
                <w:szCs w:val="20"/>
              </w:rPr>
            </w:pPr>
            <w:r w:rsidRPr="002B3498">
              <w:rPr>
                <w:rFonts w:ascii="Arial" w:hAnsi="Arial" w:cs="Arial"/>
                <w:b/>
                <w:sz w:val="20"/>
                <w:szCs w:val="20"/>
              </w:rPr>
              <w:t>RESIDUOS MUNICIPALES (RESIDUOS DOMÉSTICOS Y RESIDUOS ASIMILABLES PROCEDENTES DE LOS COMERCIOS, INDUSTRIAS E INSTITUCIONES), INCLUIDAS LAS FRACCIONES RECOGIDAS SELECTIVAMENTE</w:t>
            </w:r>
          </w:p>
        </w:tc>
      </w:tr>
      <w:tr w:rsidR="002B3498" w:rsidRPr="002B3498" w14:paraId="628F36D4" w14:textId="77777777" w:rsidTr="002B3498">
        <w:trPr>
          <w:trHeight w:val="567"/>
          <w:jc w:val="center"/>
        </w:trPr>
        <w:tc>
          <w:tcPr>
            <w:tcW w:w="1271" w:type="dxa"/>
            <w:shd w:val="pct15" w:color="auto" w:fill="auto"/>
            <w:vAlign w:val="center"/>
          </w:tcPr>
          <w:p w14:paraId="43582237"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20 01</w:t>
            </w:r>
          </w:p>
        </w:tc>
        <w:tc>
          <w:tcPr>
            <w:tcW w:w="8369" w:type="dxa"/>
            <w:shd w:val="pct15" w:color="auto" w:fill="auto"/>
            <w:vAlign w:val="center"/>
          </w:tcPr>
          <w:p w14:paraId="272571E5"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Fracciones recogidas selectivamente (excepto las especificadas en el subcapítulo 15 01)</w:t>
            </w:r>
          </w:p>
        </w:tc>
      </w:tr>
      <w:tr w:rsidR="002B3498" w:rsidRPr="002B3498" w14:paraId="00929084" w14:textId="77777777" w:rsidTr="002B3498">
        <w:trPr>
          <w:trHeight w:val="567"/>
          <w:jc w:val="center"/>
        </w:trPr>
        <w:tc>
          <w:tcPr>
            <w:tcW w:w="1271" w:type="dxa"/>
            <w:vAlign w:val="center"/>
          </w:tcPr>
          <w:p w14:paraId="2B375EA6"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20 01 01</w:t>
            </w:r>
          </w:p>
        </w:tc>
        <w:tc>
          <w:tcPr>
            <w:tcW w:w="8369" w:type="dxa"/>
            <w:vAlign w:val="center"/>
          </w:tcPr>
          <w:p w14:paraId="0636D4E9"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Papel y cartón</w:t>
            </w:r>
          </w:p>
        </w:tc>
      </w:tr>
      <w:tr w:rsidR="002B3498" w:rsidRPr="002B3498" w14:paraId="74320A0E" w14:textId="77777777" w:rsidTr="002B3498">
        <w:trPr>
          <w:trHeight w:val="567"/>
          <w:jc w:val="center"/>
        </w:trPr>
        <w:tc>
          <w:tcPr>
            <w:tcW w:w="1271" w:type="dxa"/>
            <w:vAlign w:val="center"/>
          </w:tcPr>
          <w:p w14:paraId="11BECF54"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20 01 02</w:t>
            </w:r>
          </w:p>
        </w:tc>
        <w:tc>
          <w:tcPr>
            <w:tcW w:w="8369" w:type="dxa"/>
            <w:vAlign w:val="center"/>
          </w:tcPr>
          <w:p w14:paraId="602485E8"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Vidrio</w:t>
            </w:r>
          </w:p>
        </w:tc>
      </w:tr>
      <w:tr w:rsidR="002B3498" w:rsidRPr="002B3498" w14:paraId="4151F50C" w14:textId="77777777" w:rsidTr="002B3498">
        <w:trPr>
          <w:trHeight w:val="567"/>
          <w:jc w:val="center"/>
        </w:trPr>
        <w:tc>
          <w:tcPr>
            <w:tcW w:w="1271" w:type="dxa"/>
            <w:vAlign w:val="center"/>
          </w:tcPr>
          <w:p w14:paraId="3EB8AB7B"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20 01 10</w:t>
            </w:r>
          </w:p>
        </w:tc>
        <w:tc>
          <w:tcPr>
            <w:tcW w:w="8369" w:type="dxa"/>
            <w:vAlign w:val="center"/>
          </w:tcPr>
          <w:p w14:paraId="4D9752D8"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Ropa</w:t>
            </w:r>
          </w:p>
        </w:tc>
      </w:tr>
      <w:tr w:rsidR="002B3498" w:rsidRPr="002B3498" w14:paraId="01EE8B42" w14:textId="77777777" w:rsidTr="002B3498">
        <w:trPr>
          <w:trHeight w:val="567"/>
          <w:jc w:val="center"/>
        </w:trPr>
        <w:tc>
          <w:tcPr>
            <w:tcW w:w="1271" w:type="dxa"/>
            <w:vAlign w:val="center"/>
          </w:tcPr>
          <w:p w14:paraId="00329944"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20 01 11</w:t>
            </w:r>
          </w:p>
        </w:tc>
        <w:tc>
          <w:tcPr>
            <w:tcW w:w="8369" w:type="dxa"/>
            <w:vAlign w:val="center"/>
          </w:tcPr>
          <w:p w14:paraId="302E7941"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Materias textiles</w:t>
            </w:r>
          </w:p>
        </w:tc>
      </w:tr>
      <w:tr w:rsidR="002B3498" w:rsidRPr="002B3498" w14:paraId="713718A1" w14:textId="77777777" w:rsidTr="002B3498">
        <w:trPr>
          <w:trHeight w:val="567"/>
          <w:jc w:val="center"/>
        </w:trPr>
        <w:tc>
          <w:tcPr>
            <w:tcW w:w="1271" w:type="dxa"/>
            <w:vAlign w:val="center"/>
          </w:tcPr>
          <w:p w14:paraId="37612045"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20 01 34</w:t>
            </w:r>
          </w:p>
        </w:tc>
        <w:tc>
          <w:tcPr>
            <w:tcW w:w="8369" w:type="dxa"/>
            <w:vAlign w:val="center"/>
          </w:tcPr>
          <w:p w14:paraId="241FC0E0"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Baterías y acumuladores distintos de los especificados en el código 20 01 33</w:t>
            </w:r>
          </w:p>
        </w:tc>
      </w:tr>
      <w:tr w:rsidR="002B3498" w:rsidRPr="002B3498" w14:paraId="26711922" w14:textId="77777777" w:rsidTr="002B3498">
        <w:trPr>
          <w:trHeight w:val="567"/>
          <w:jc w:val="center"/>
        </w:trPr>
        <w:tc>
          <w:tcPr>
            <w:tcW w:w="1271" w:type="dxa"/>
            <w:vAlign w:val="center"/>
          </w:tcPr>
          <w:p w14:paraId="69B8CEB9"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20 01 39</w:t>
            </w:r>
          </w:p>
        </w:tc>
        <w:tc>
          <w:tcPr>
            <w:tcW w:w="8369" w:type="dxa"/>
            <w:vAlign w:val="center"/>
          </w:tcPr>
          <w:p w14:paraId="71DF8152"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Plásticos</w:t>
            </w:r>
          </w:p>
        </w:tc>
      </w:tr>
      <w:tr w:rsidR="002B3498" w:rsidRPr="002B3498" w14:paraId="029A4CD6" w14:textId="77777777" w:rsidTr="002B3498">
        <w:trPr>
          <w:trHeight w:val="567"/>
          <w:jc w:val="center"/>
        </w:trPr>
        <w:tc>
          <w:tcPr>
            <w:tcW w:w="1271" w:type="dxa"/>
            <w:tcBorders>
              <w:bottom w:val="single" w:sz="4" w:space="0" w:color="auto"/>
            </w:tcBorders>
            <w:vAlign w:val="center"/>
          </w:tcPr>
          <w:p w14:paraId="5BDDE805"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20 01 40</w:t>
            </w:r>
          </w:p>
        </w:tc>
        <w:tc>
          <w:tcPr>
            <w:tcW w:w="8369" w:type="dxa"/>
            <w:tcBorders>
              <w:bottom w:val="single" w:sz="4" w:space="0" w:color="auto"/>
            </w:tcBorders>
            <w:vAlign w:val="center"/>
          </w:tcPr>
          <w:p w14:paraId="6B1AEA45"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Metales</w:t>
            </w:r>
          </w:p>
        </w:tc>
      </w:tr>
      <w:tr w:rsidR="002B3498" w:rsidRPr="002B3498" w14:paraId="13986143" w14:textId="77777777" w:rsidTr="002B3498">
        <w:trPr>
          <w:trHeight w:val="567"/>
          <w:jc w:val="center"/>
        </w:trPr>
        <w:tc>
          <w:tcPr>
            <w:tcW w:w="1271" w:type="dxa"/>
            <w:shd w:val="pct15" w:color="auto" w:fill="auto"/>
            <w:vAlign w:val="center"/>
          </w:tcPr>
          <w:p w14:paraId="74825347"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20 02</w:t>
            </w:r>
          </w:p>
        </w:tc>
        <w:tc>
          <w:tcPr>
            <w:tcW w:w="8369" w:type="dxa"/>
            <w:shd w:val="pct15" w:color="auto" w:fill="auto"/>
            <w:vAlign w:val="center"/>
          </w:tcPr>
          <w:p w14:paraId="46C1CB13"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Residuos de parques y jardines (incluidos los residuos de cementerios)</w:t>
            </w:r>
          </w:p>
        </w:tc>
      </w:tr>
      <w:tr w:rsidR="002B3498" w:rsidRPr="002B3498" w14:paraId="2308F7B4" w14:textId="77777777" w:rsidTr="002B3498">
        <w:trPr>
          <w:trHeight w:val="567"/>
          <w:jc w:val="center"/>
        </w:trPr>
        <w:tc>
          <w:tcPr>
            <w:tcW w:w="1271" w:type="dxa"/>
            <w:vAlign w:val="center"/>
          </w:tcPr>
          <w:p w14:paraId="57D7F425"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20 02 01</w:t>
            </w:r>
          </w:p>
        </w:tc>
        <w:tc>
          <w:tcPr>
            <w:tcW w:w="8369" w:type="dxa"/>
            <w:vAlign w:val="center"/>
          </w:tcPr>
          <w:p w14:paraId="12BE211C"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Residuos biodegradables</w:t>
            </w:r>
          </w:p>
        </w:tc>
      </w:tr>
      <w:tr w:rsidR="002B3498" w:rsidRPr="002B3498" w14:paraId="2C0161D2" w14:textId="77777777" w:rsidTr="002B3498">
        <w:trPr>
          <w:trHeight w:val="567"/>
          <w:jc w:val="center"/>
        </w:trPr>
        <w:tc>
          <w:tcPr>
            <w:tcW w:w="1271" w:type="dxa"/>
            <w:vAlign w:val="center"/>
          </w:tcPr>
          <w:p w14:paraId="2A1387A3"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20 02 02</w:t>
            </w:r>
          </w:p>
        </w:tc>
        <w:tc>
          <w:tcPr>
            <w:tcW w:w="8369" w:type="dxa"/>
            <w:vAlign w:val="center"/>
          </w:tcPr>
          <w:p w14:paraId="4A474A7C"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Tierra y piedras</w:t>
            </w:r>
          </w:p>
        </w:tc>
      </w:tr>
      <w:tr w:rsidR="002B3498" w:rsidRPr="002B3498" w14:paraId="71DCF5DB" w14:textId="77777777" w:rsidTr="002B3498">
        <w:trPr>
          <w:trHeight w:val="567"/>
          <w:jc w:val="center"/>
        </w:trPr>
        <w:tc>
          <w:tcPr>
            <w:tcW w:w="1271" w:type="dxa"/>
            <w:vAlign w:val="center"/>
          </w:tcPr>
          <w:p w14:paraId="4C1288E9"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20 02 03</w:t>
            </w:r>
          </w:p>
        </w:tc>
        <w:tc>
          <w:tcPr>
            <w:tcW w:w="8369" w:type="dxa"/>
            <w:vAlign w:val="center"/>
          </w:tcPr>
          <w:p w14:paraId="7E1B2164"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Otros residuos no biodegradables</w:t>
            </w:r>
          </w:p>
        </w:tc>
      </w:tr>
    </w:tbl>
    <w:p w14:paraId="1C18807C" w14:textId="77777777" w:rsidR="002B3498" w:rsidRDefault="002B3498" w:rsidP="002B3498">
      <w:pPr>
        <w:pStyle w:val="Default"/>
        <w:spacing w:line="360" w:lineRule="auto"/>
        <w:ind w:left="1800"/>
        <w:jc w:val="both"/>
        <w:rPr>
          <w:rFonts w:ascii="Arial" w:hAnsi="Arial" w:cs="Arial"/>
          <w:sz w:val="20"/>
          <w:szCs w:val="20"/>
        </w:rPr>
      </w:pPr>
    </w:p>
    <w:p w14:paraId="19915BD5" w14:textId="77777777" w:rsidR="002B3498" w:rsidRDefault="002B3498" w:rsidP="00206D99">
      <w:pPr>
        <w:pStyle w:val="Ttulo2"/>
      </w:pPr>
      <w:r w:rsidRPr="002B3498">
        <w:t>RESIDUOS PELIGROSOS</w:t>
      </w:r>
    </w:p>
    <w:p w14:paraId="7305DA34" w14:textId="77777777" w:rsidR="002B3498" w:rsidRPr="002B3498" w:rsidRDefault="002B3498" w:rsidP="002B3498">
      <w:pPr>
        <w:pStyle w:val="Default"/>
        <w:spacing w:line="360" w:lineRule="auto"/>
        <w:ind w:left="1800"/>
        <w:jc w:val="both"/>
        <w:rPr>
          <w:rFonts w:ascii="Arial" w:hAnsi="Arial" w:cs="Arial"/>
          <w:sz w:val="20"/>
          <w:szCs w:val="20"/>
        </w:rPr>
      </w:pPr>
    </w:p>
    <w:tbl>
      <w:tblPr>
        <w:tblStyle w:val="Tablaconcuadrcula"/>
        <w:tblW w:w="0" w:type="auto"/>
        <w:tblLook w:val="04A0" w:firstRow="1" w:lastRow="0" w:firstColumn="1" w:lastColumn="0" w:noHBand="0" w:noVBand="1"/>
      </w:tblPr>
      <w:tblGrid>
        <w:gridCol w:w="1418"/>
        <w:gridCol w:w="8222"/>
      </w:tblGrid>
      <w:tr w:rsidR="002B3498" w:rsidRPr="002B3498" w14:paraId="659A0882" w14:textId="77777777" w:rsidTr="005D551C">
        <w:trPr>
          <w:trHeight w:val="567"/>
        </w:trPr>
        <w:tc>
          <w:tcPr>
            <w:tcW w:w="1418" w:type="dxa"/>
            <w:shd w:val="pct15" w:color="auto" w:fill="auto"/>
            <w:vAlign w:val="center"/>
          </w:tcPr>
          <w:p w14:paraId="787CB4F8"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t>02</w:t>
            </w:r>
          </w:p>
        </w:tc>
        <w:tc>
          <w:tcPr>
            <w:tcW w:w="8222" w:type="dxa"/>
            <w:shd w:val="pct15" w:color="auto" w:fill="auto"/>
            <w:vAlign w:val="center"/>
          </w:tcPr>
          <w:p w14:paraId="63378FF1"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t>RESIDUOS DE LA AGRICULTURA, HORTICULTURA, ACUICULTURA, SILVICULTURA, CAZA Y PESCA; RESIDUOS DE LA PREPARACIÓN Y ELABORACIÓN DE ALIMENTOS</w:t>
            </w:r>
          </w:p>
        </w:tc>
      </w:tr>
      <w:tr w:rsidR="002B3498" w:rsidRPr="002B3498" w14:paraId="1F8EE111" w14:textId="77777777" w:rsidTr="005D551C">
        <w:trPr>
          <w:trHeight w:val="567"/>
        </w:trPr>
        <w:tc>
          <w:tcPr>
            <w:tcW w:w="1418" w:type="dxa"/>
            <w:shd w:val="pct15" w:color="auto" w:fill="auto"/>
            <w:vAlign w:val="center"/>
          </w:tcPr>
          <w:p w14:paraId="61455C02"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02 01</w:t>
            </w:r>
          </w:p>
        </w:tc>
        <w:tc>
          <w:tcPr>
            <w:tcW w:w="8222" w:type="dxa"/>
            <w:shd w:val="pct15" w:color="auto" w:fill="auto"/>
            <w:vAlign w:val="center"/>
          </w:tcPr>
          <w:p w14:paraId="3CE7B170"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Residuos de la agricultura, horticultura, acuicultura, silvicultura, caza y pesca</w:t>
            </w:r>
          </w:p>
        </w:tc>
      </w:tr>
      <w:tr w:rsidR="002B3498" w:rsidRPr="002B3498" w14:paraId="62D5EA1A" w14:textId="77777777" w:rsidTr="005D551C">
        <w:trPr>
          <w:trHeight w:val="567"/>
        </w:trPr>
        <w:tc>
          <w:tcPr>
            <w:tcW w:w="1418" w:type="dxa"/>
            <w:tcBorders>
              <w:bottom w:val="single" w:sz="4" w:space="0" w:color="auto"/>
            </w:tcBorders>
            <w:vAlign w:val="center"/>
          </w:tcPr>
          <w:p w14:paraId="475D18AD"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02 01 08</w:t>
            </w:r>
          </w:p>
        </w:tc>
        <w:tc>
          <w:tcPr>
            <w:tcW w:w="8222" w:type="dxa"/>
            <w:tcBorders>
              <w:bottom w:val="single" w:sz="4" w:space="0" w:color="auto"/>
            </w:tcBorders>
            <w:vAlign w:val="center"/>
          </w:tcPr>
          <w:p w14:paraId="598873F8"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Residuos agroquímicos que contienen sustancias peligrosas</w:t>
            </w:r>
          </w:p>
        </w:tc>
      </w:tr>
      <w:tr w:rsidR="002B3498" w:rsidRPr="002B3498" w14:paraId="1DE43E9F" w14:textId="77777777" w:rsidTr="005D551C">
        <w:trPr>
          <w:trHeight w:val="567"/>
        </w:trPr>
        <w:tc>
          <w:tcPr>
            <w:tcW w:w="1418" w:type="dxa"/>
            <w:shd w:val="pct15" w:color="auto" w:fill="auto"/>
            <w:vAlign w:val="center"/>
          </w:tcPr>
          <w:p w14:paraId="4382CEB2"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t>15</w:t>
            </w:r>
          </w:p>
        </w:tc>
        <w:tc>
          <w:tcPr>
            <w:tcW w:w="8222" w:type="dxa"/>
            <w:shd w:val="pct15" w:color="auto" w:fill="auto"/>
            <w:vAlign w:val="center"/>
          </w:tcPr>
          <w:p w14:paraId="0C40680C" w14:textId="77777777" w:rsidR="002B3498" w:rsidRPr="002B3498" w:rsidRDefault="002B3498" w:rsidP="005D551C">
            <w:pPr>
              <w:pStyle w:val="Default"/>
              <w:rPr>
                <w:rFonts w:ascii="Arial" w:hAnsi="Arial" w:cs="Arial"/>
                <w:b/>
                <w:bCs/>
                <w:sz w:val="20"/>
                <w:szCs w:val="20"/>
              </w:rPr>
            </w:pPr>
            <w:r w:rsidRPr="002B3498">
              <w:rPr>
                <w:rFonts w:ascii="Arial" w:hAnsi="Arial" w:cs="Arial"/>
                <w:b/>
                <w:sz w:val="20"/>
                <w:szCs w:val="20"/>
              </w:rPr>
              <w:t>RESIDUOS DE ENVASES; ABSORBENTES, TRAPOS DE LIMPIEZA, MATERIALES DE FILTRACIÓN Y ROPAS DE PROTECCIÓN NO ESPECIFICADOS EN OTRA CATEGORÍA</w:t>
            </w:r>
          </w:p>
        </w:tc>
      </w:tr>
      <w:tr w:rsidR="002B3498" w:rsidRPr="002B3498" w14:paraId="6B7949D6" w14:textId="77777777" w:rsidTr="005D551C">
        <w:trPr>
          <w:trHeight w:val="567"/>
        </w:trPr>
        <w:tc>
          <w:tcPr>
            <w:tcW w:w="1418" w:type="dxa"/>
            <w:shd w:val="pct15" w:color="auto" w:fill="auto"/>
            <w:vAlign w:val="center"/>
          </w:tcPr>
          <w:p w14:paraId="58431E52"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15 01</w:t>
            </w:r>
          </w:p>
        </w:tc>
        <w:tc>
          <w:tcPr>
            <w:tcW w:w="8222" w:type="dxa"/>
            <w:shd w:val="pct15" w:color="auto" w:fill="auto"/>
            <w:vAlign w:val="center"/>
          </w:tcPr>
          <w:p w14:paraId="21EF1159"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Envases (incluidos los residuos de envases de la recogida selectiva municipal)</w:t>
            </w:r>
          </w:p>
        </w:tc>
      </w:tr>
      <w:tr w:rsidR="002B3498" w:rsidRPr="002B3498" w14:paraId="48B19925" w14:textId="77777777" w:rsidTr="005D551C">
        <w:trPr>
          <w:trHeight w:val="567"/>
        </w:trPr>
        <w:tc>
          <w:tcPr>
            <w:tcW w:w="1418" w:type="dxa"/>
            <w:tcBorders>
              <w:bottom w:val="single" w:sz="4" w:space="0" w:color="auto"/>
            </w:tcBorders>
            <w:vAlign w:val="center"/>
          </w:tcPr>
          <w:p w14:paraId="27129406"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15 01 10</w:t>
            </w:r>
          </w:p>
        </w:tc>
        <w:tc>
          <w:tcPr>
            <w:tcW w:w="8222" w:type="dxa"/>
            <w:tcBorders>
              <w:bottom w:val="single" w:sz="4" w:space="0" w:color="auto"/>
            </w:tcBorders>
            <w:vAlign w:val="center"/>
          </w:tcPr>
          <w:p w14:paraId="0EC578A2"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Envases que contienen restos de sustancias peligrosas o están contaminados por ellas</w:t>
            </w:r>
          </w:p>
        </w:tc>
      </w:tr>
      <w:tr w:rsidR="002B3498" w:rsidRPr="002B3498" w14:paraId="335339B2" w14:textId="77777777" w:rsidTr="005D551C">
        <w:trPr>
          <w:trHeight w:val="567"/>
        </w:trPr>
        <w:tc>
          <w:tcPr>
            <w:tcW w:w="1418" w:type="dxa"/>
            <w:shd w:val="pct15" w:color="auto" w:fill="auto"/>
            <w:vAlign w:val="center"/>
          </w:tcPr>
          <w:p w14:paraId="604D066B"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t>16</w:t>
            </w:r>
          </w:p>
        </w:tc>
        <w:tc>
          <w:tcPr>
            <w:tcW w:w="8222" w:type="dxa"/>
            <w:shd w:val="pct15" w:color="auto" w:fill="auto"/>
            <w:vAlign w:val="center"/>
          </w:tcPr>
          <w:p w14:paraId="05FC18E2" w14:textId="77777777" w:rsidR="002B3498" w:rsidRPr="002B3498" w:rsidRDefault="002B3498" w:rsidP="005D551C">
            <w:pPr>
              <w:pStyle w:val="Default"/>
              <w:rPr>
                <w:rFonts w:ascii="Arial" w:hAnsi="Arial" w:cs="Arial"/>
                <w:b/>
                <w:bCs/>
                <w:sz w:val="20"/>
                <w:szCs w:val="20"/>
              </w:rPr>
            </w:pPr>
            <w:r w:rsidRPr="002B3498">
              <w:rPr>
                <w:rFonts w:ascii="Arial" w:hAnsi="Arial" w:cs="Arial"/>
                <w:b/>
                <w:sz w:val="20"/>
                <w:szCs w:val="20"/>
              </w:rPr>
              <w:t>RESIDUOS NO ESPECIFICADOS EN OTRO CAPÍTULO DE LA LISTA</w:t>
            </w:r>
          </w:p>
        </w:tc>
      </w:tr>
      <w:tr w:rsidR="002B3498" w:rsidRPr="002B3498" w14:paraId="4212E081" w14:textId="77777777" w:rsidTr="005D551C">
        <w:trPr>
          <w:trHeight w:val="567"/>
        </w:trPr>
        <w:tc>
          <w:tcPr>
            <w:tcW w:w="1418" w:type="dxa"/>
            <w:shd w:val="pct15" w:color="auto" w:fill="auto"/>
            <w:vAlign w:val="center"/>
          </w:tcPr>
          <w:p w14:paraId="1AD91FDB"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16 01</w:t>
            </w:r>
          </w:p>
        </w:tc>
        <w:tc>
          <w:tcPr>
            <w:tcW w:w="8222" w:type="dxa"/>
            <w:shd w:val="pct15" w:color="auto" w:fill="auto"/>
            <w:vAlign w:val="center"/>
          </w:tcPr>
          <w:p w14:paraId="16A7E542"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Vehículos de diferentes medios de transporte (incluidas las máquinas no de carretera) al final de su vida útil y residuos del desguace de vehículos al final de su vida útil y del mantenimiento de vehículos (excepto los de los capítulos 13 y 14 y los subcapítulos 16 06 y 16 08)</w:t>
            </w:r>
          </w:p>
        </w:tc>
      </w:tr>
      <w:tr w:rsidR="002B3498" w:rsidRPr="002B3498" w14:paraId="177256F5" w14:textId="77777777" w:rsidTr="005D551C">
        <w:trPr>
          <w:trHeight w:val="567"/>
        </w:trPr>
        <w:tc>
          <w:tcPr>
            <w:tcW w:w="1418" w:type="dxa"/>
            <w:tcBorders>
              <w:bottom w:val="single" w:sz="4" w:space="0" w:color="auto"/>
            </w:tcBorders>
            <w:vAlign w:val="center"/>
          </w:tcPr>
          <w:p w14:paraId="693B924C"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16 01 04</w:t>
            </w:r>
          </w:p>
        </w:tc>
        <w:tc>
          <w:tcPr>
            <w:tcW w:w="8222" w:type="dxa"/>
            <w:tcBorders>
              <w:bottom w:val="single" w:sz="4" w:space="0" w:color="auto"/>
            </w:tcBorders>
            <w:vAlign w:val="center"/>
          </w:tcPr>
          <w:p w14:paraId="2D685ADB"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Vehículos al final de su vida útil</w:t>
            </w:r>
          </w:p>
        </w:tc>
      </w:tr>
      <w:tr w:rsidR="002B3498" w:rsidRPr="002B3498" w14:paraId="4BCFCD27" w14:textId="77777777" w:rsidTr="005D551C">
        <w:trPr>
          <w:trHeight w:val="567"/>
        </w:trPr>
        <w:tc>
          <w:tcPr>
            <w:tcW w:w="1418" w:type="dxa"/>
            <w:shd w:val="pct15" w:color="auto" w:fill="auto"/>
            <w:vAlign w:val="center"/>
          </w:tcPr>
          <w:p w14:paraId="187EAEDA"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16 02</w:t>
            </w:r>
          </w:p>
        </w:tc>
        <w:tc>
          <w:tcPr>
            <w:tcW w:w="8222" w:type="dxa"/>
            <w:shd w:val="pct15" w:color="auto" w:fill="auto"/>
            <w:vAlign w:val="center"/>
          </w:tcPr>
          <w:p w14:paraId="4F069D5D"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Residuos de aparatos eléctricos y electrónicos</w:t>
            </w:r>
          </w:p>
        </w:tc>
      </w:tr>
      <w:tr w:rsidR="002B3498" w:rsidRPr="002B3498" w14:paraId="56E679EC" w14:textId="77777777" w:rsidTr="005D551C">
        <w:trPr>
          <w:trHeight w:val="567"/>
        </w:trPr>
        <w:tc>
          <w:tcPr>
            <w:tcW w:w="1418" w:type="dxa"/>
            <w:tcBorders>
              <w:bottom w:val="single" w:sz="4" w:space="0" w:color="auto"/>
            </w:tcBorders>
            <w:vAlign w:val="center"/>
          </w:tcPr>
          <w:p w14:paraId="7DFE3F3C"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16 02 11</w:t>
            </w:r>
          </w:p>
        </w:tc>
        <w:tc>
          <w:tcPr>
            <w:tcW w:w="8222" w:type="dxa"/>
            <w:tcBorders>
              <w:bottom w:val="single" w:sz="4" w:space="0" w:color="auto"/>
            </w:tcBorders>
            <w:vAlign w:val="center"/>
          </w:tcPr>
          <w:p w14:paraId="1DCCDA7C"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 xml:space="preserve">Equipos desechados que contienen </w:t>
            </w:r>
            <w:proofErr w:type="spellStart"/>
            <w:r w:rsidRPr="002B3498">
              <w:rPr>
                <w:rFonts w:ascii="Arial" w:hAnsi="Arial" w:cs="Arial"/>
                <w:sz w:val="20"/>
                <w:szCs w:val="20"/>
              </w:rPr>
              <w:t>clorofluorocarburos</w:t>
            </w:r>
            <w:proofErr w:type="spellEnd"/>
            <w:r w:rsidRPr="002B3498">
              <w:rPr>
                <w:rFonts w:ascii="Arial" w:hAnsi="Arial" w:cs="Arial"/>
                <w:sz w:val="20"/>
                <w:szCs w:val="20"/>
              </w:rPr>
              <w:t>, HCFC, HFC</w:t>
            </w:r>
          </w:p>
        </w:tc>
      </w:tr>
      <w:tr w:rsidR="002B3498" w:rsidRPr="002B3498" w14:paraId="4275CE98" w14:textId="77777777" w:rsidTr="005D551C">
        <w:trPr>
          <w:trHeight w:val="567"/>
        </w:trPr>
        <w:tc>
          <w:tcPr>
            <w:tcW w:w="1418" w:type="dxa"/>
            <w:shd w:val="pct15" w:color="auto" w:fill="auto"/>
            <w:vAlign w:val="center"/>
          </w:tcPr>
          <w:p w14:paraId="62E03962"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16 06</w:t>
            </w:r>
          </w:p>
        </w:tc>
        <w:tc>
          <w:tcPr>
            <w:tcW w:w="8222" w:type="dxa"/>
            <w:shd w:val="pct15" w:color="auto" w:fill="auto"/>
            <w:vAlign w:val="center"/>
          </w:tcPr>
          <w:p w14:paraId="4F065EF5"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Pilas y acumuladores</w:t>
            </w:r>
          </w:p>
        </w:tc>
      </w:tr>
      <w:tr w:rsidR="002B3498" w:rsidRPr="002B3498" w14:paraId="02D9DE1A" w14:textId="77777777" w:rsidTr="005D551C">
        <w:trPr>
          <w:trHeight w:val="567"/>
        </w:trPr>
        <w:tc>
          <w:tcPr>
            <w:tcW w:w="1418" w:type="dxa"/>
            <w:vAlign w:val="center"/>
          </w:tcPr>
          <w:p w14:paraId="3C838525"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16 06 01</w:t>
            </w:r>
          </w:p>
        </w:tc>
        <w:tc>
          <w:tcPr>
            <w:tcW w:w="8222" w:type="dxa"/>
            <w:vAlign w:val="center"/>
          </w:tcPr>
          <w:p w14:paraId="1C97B3CF"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Baterías de plomo</w:t>
            </w:r>
          </w:p>
        </w:tc>
      </w:tr>
      <w:tr w:rsidR="002B3498" w:rsidRPr="002B3498" w14:paraId="54CB6B4E" w14:textId="77777777" w:rsidTr="005D551C">
        <w:trPr>
          <w:trHeight w:val="567"/>
        </w:trPr>
        <w:tc>
          <w:tcPr>
            <w:tcW w:w="1418" w:type="dxa"/>
            <w:tcBorders>
              <w:bottom w:val="single" w:sz="4" w:space="0" w:color="auto"/>
            </w:tcBorders>
            <w:vAlign w:val="center"/>
          </w:tcPr>
          <w:p w14:paraId="7B2A2D03"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16 06 03</w:t>
            </w:r>
          </w:p>
        </w:tc>
        <w:tc>
          <w:tcPr>
            <w:tcW w:w="8222" w:type="dxa"/>
            <w:tcBorders>
              <w:bottom w:val="single" w:sz="4" w:space="0" w:color="auto"/>
            </w:tcBorders>
            <w:vAlign w:val="center"/>
          </w:tcPr>
          <w:p w14:paraId="1C0DB452"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Pilas que contienen mercurio</w:t>
            </w:r>
          </w:p>
        </w:tc>
      </w:tr>
      <w:tr w:rsidR="002B3498" w:rsidRPr="002B3498" w14:paraId="77213D19" w14:textId="77777777" w:rsidTr="005D551C">
        <w:trPr>
          <w:trHeight w:val="567"/>
        </w:trPr>
        <w:tc>
          <w:tcPr>
            <w:tcW w:w="1418" w:type="dxa"/>
            <w:shd w:val="pct15" w:color="auto" w:fill="auto"/>
            <w:vAlign w:val="center"/>
          </w:tcPr>
          <w:p w14:paraId="1AE06E0C"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t>17</w:t>
            </w:r>
          </w:p>
        </w:tc>
        <w:tc>
          <w:tcPr>
            <w:tcW w:w="8222" w:type="dxa"/>
            <w:shd w:val="pct15" w:color="auto" w:fill="auto"/>
            <w:vAlign w:val="center"/>
          </w:tcPr>
          <w:p w14:paraId="2EEA8C9D" w14:textId="77777777" w:rsidR="002B3498" w:rsidRPr="002B3498" w:rsidRDefault="002B3498" w:rsidP="005D551C">
            <w:pPr>
              <w:pStyle w:val="Default"/>
              <w:rPr>
                <w:rFonts w:ascii="Arial" w:hAnsi="Arial" w:cs="Arial"/>
                <w:b/>
                <w:bCs/>
                <w:sz w:val="20"/>
                <w:szCs w:val="20"/>
              </w:rPr>
            </w:pPr>
            <w:r w:rsidRPr="002B3498">
              <w:rPr>
                <w:rFonts w:ascii="Arial" w:hAnsi="Arial" w:cs="Arial"/>
                <w:b/>
                <w:sz w:val="20"/>
                <w:szCs w:val="20"/>
              </w:rPr>
              <w:t>RESIDUOS DE LA CONSTRUCCIÓN Y DEMOLICIÓN (INCLUIDA LA TIERRA EXCAVADA DE ZONAS CONTAMINADAS)</w:t>
            </w:r>
          </w:p>
        </w:tc>
      </w:tr>
      <w:tr w:rsidR="002B3498" w:rsidRPr="002B3498" w14:paraId="57EA3C74" w14:textId="77777777" w:rsidTr="005D551C">
        <w:trPr>
          <w:trHeight w:val="567"/>
        </w:trPr>
        <w:tc>
          <w:tcPr>
            <w:tcW w:w="1418" w:type="dxa"/>
            <w:shd w:val="pct15" w:color="auto" w:fill="auto"/>
            <w:vAlign w:val="center"/>
          </w:tcPr>
          <w:p w14:paraId="5131CEA8"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17 06</w:t>
            </w:r>
          </w:p>
        </w:tc>
        <w:tc>
          <w:tcPr>
            <w:tcW w:w="8222" w:type="dxa"/>
            <w:shd w:val="pct15" w:color="auto" w:fill="auto"/>
            <w:vAlign w:val="center"/>
          </w:tcPr>
          <w:p w14:paraId="7ED1F67E"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Materiales de aislamiento y materiales de construcción que contienen amianto</w:t>
            </w:r>
          </w:p>
        </w:tc>
      </w:tr>
      <w:tr w:rsidR="002B3498" w:rsidRPr="002B3498" w14:paraId="67C711F3" w14:textId="77777777" w:rsidTr="005D551C">
        <w:trPr>
          <w:trHeight w:val="567"/>
        </w:trPr>
        <w:tc>
          <w:tcPr>
            <w:tcW w:w="1418" w:type="dxa"/>
            <w:tcBorders>
              <w:bottom w:val="single" w:sz="4" w:space="0" w:color="auto"/>
            </w:tcBorders>
            <w:vAlign w:val="center"/>
          </w:tcPr>
          <w:p w14:paraId="501E1192"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17 06 05</w:t>
            </w:r>
          </w:p>
        </w:tc>
        <w:tc>
          <w:tcPr>
            <w:tcW w:w="8222" w:type="dxa"/>
            <w:tcBorders>
              <w:bottom w:val="single" w:sz="4" w:space="0" w:color="auto"/>
            </w:tcBorders>
            <w:vAlign w:val="center"/>
          </w:tcPr>
          <w:p w14:paraId="2C94E94E" w14:textId="77777777" w:rsidR="002B3498" w:rsidRPr="002B3498" w:rsidRDefault="002B3498" w:rsidP="005D551C">
            <w:pPr>
              <w:pStyle w:val="Default"/>
              <w:rPr>
                <w:rFonts w:ascii="Arial" w:hAnsi="Arial" w:cs="Arial"/>
                <w:bCs/>
                <w:sz w:val="20"/>
                <w:szCs w:val="20"/>
              </w:rPr>
            </w:pPr>
            <w:r w:rsidRPr="002B3498">
              <w:rPr>
                <w:rFonts w:ascii="Arial" w:hAnsi="Arial" w:cs="Arial"/>
                <w:sz w:val="20"/>
                <w:szCs w:val="20"/>
              </w:rPr>
              <w:t>Materiales de construcción que contienen amianto</w:t>
            </w:r>
          </w:p>
        </w:tc>
      </w:tr>
      <w:tr w:rsidR="002B3498" w:rsidRPr="002B3498" w14:paraId="71C12066" w14:textId="77777777" w:rsidTr="005D551C">
        <w:trPr>
          <w:trHeight w:val="567"/>
        </w:trPr>
        <w:tc>
          <w:tcPr>
            <w:tcW w:w="1418" w:type="dxa"/>
            <w:shd w:val="pct15" w:color="auto" w:fill="auto"/>
            <w:vAlign w:val="center"/>
          </w:tcPr>
          <w:p w14:paraId="5B089575" w14:textId="77777777" w:rsidR="002B3498" w:rsidRPr="002B3498" w:rsidRDefault="002B3498" w:rsidP="005D551C">
            <w:pPr>
              <w:pStyle w:val="Default"/>
              <w:rPr>
                <w:rFonts w:ascii="Arial" w:hAnsi="Arial" w:cs="Arial"/>
                <w:b/>
                <w:sz w:val="20"/>
                <w:szCs w:val="20"/>
              </w:rPr>
            </w:pPr>
            <w:r w:rsidRPr="002B3498">
              <w:rPr>
                <w:rFonts w:ascii="Arial" w:hAnsi="Arial" w:cs="Arial"/>
                <w:b/>
                <w:sz w:val="20"/>
                <w:szCs w:val="20"/>
              </w:rPr>
              <w:t>20</w:t>
            </w:r>
          </w:p>
        </w:tc>
        <w:tc>
          <w:tcPr>
            <w:tcW w:w="8222" w:type="dxa"/>
            <w:shd w:val="pct15" w:color="auto" w:fill="auto"/>
            <w:vAlign w:val="center"/>
          </w:tcPr>
          <w:p w14:paraId="735A7ED8" w14:textId="77777777" w:rsidR="002B3498" w:rsidRPr="002B3498" w:rsidRDefault="002B3498" w:rsidP="005D551C">
            <w:pPr>
              <w:pStyle w:val="Default"/>
              <w:rPr>
                <w:rFonts w:ascii="Arial" w:hAnsi="Arial" w:cs="Arial"/>
                <w:b/>
                <w:bCs/>
                <w:sz w:val="20"/>
                <w:szCs w:val="20"/>
              </w:rPr>
            </w:pPr>
            <w:r w:rsidRPr="002B3498">
              <w:rPr>
                <w:rFonts w:ascii="Arial" w:hAnsi="Arial" w:cs="Arial"/>
                <w:b/>
                <w:sz w:val="20"/>
                <w:szCs w:val="20"/>
              </w:rPr>
              <w:t>RESIDUOS MUNICIPALES (RESIDUOS DOMÉSTICOS Y RESIDUOS ASIMILABLES PROCEDENTES DE LOS COMERCIOS, INDUSTRIAS E INSTITUCIONES), INCLUIDAS LAS FRACCIONES RECOGIDAS SELECTIVAMENTE</w:t>
            </w:r>
          </w:p>
        </w:tc>
      </w:tr>
      <w:tr w:rsidR="002B3498" w:rsidRPr="002B3498" w14:paraId="5DEF2B0D" w14:textId="77777777" w:rsidTr="005D551C">
        <w:trPr>
          <w:trHeight w:val="567"/>
        </w:trPr>
        <w:tc>
          <w:tcPr>
            <w:tcW w:w="1418" w:type="dxa"/>
            <w:shd w:val="pct15" w:color="auto" w:fill="auto"/>
            <w:vAlign w:val="center"/>
          </w:tcPr>
          <w:p w14:paraId="1904D3AE"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20 01</w:t>
            </w:r>
          </w:p>
        </w:tc>
        <w:tc>
          <w:tcPr>
            <w:tcW w:w="8222" w:type="dxa"/>
            <w:shd w:val="pct15" w:color="auto" w:fill="auto"/>
            <w:vAlign w:val="center"/>
          </w:tcPr>
          <w:p w14:paraId="69397FF8" w14:textId="77777777" w:rsidR="002B3498" w:rsidRPr="002B3498" w:rsidRDefault="002B3498" w:rsidP="005D551C">
            <w:pPr>
              <w:pStyle w:val="Default"/>
              <w:rPr>
                <w:rFonts w:ascii="Arial" w:hAnsi="Arial" w:cs="Arial"/>
                <w:sz w:val="20"/>
                <w:szCs w:val="20"/>
              </w:rPr>
            </w:pPr>
            <w:r w:rsidRPr="002B3498">
              <w:rPr>
                <w:rFonts w:ascii="Arial" w:hAnsi="Arial" w:cs="Arial"/>
                <w:bCs/>
                <w:sz w:val="20"/>
                <w:szCs w:val="20"/>
              </w:rPr>
              <w:t>Fracciones recogidas selectivamente (excepto las especificadas en el subcapítulo 15 01)</w:t>
            </w:r>
          </w:p>
        </w:tc>
      </w:tr>
      <w:tr w:rsidR="002B3498" w:rsidRPr="002B3498" w14:paraId="02A5F16D" w14:textId="77777777" w:rsidTr="005D551C">
        <w:trPr>
          <w:trHeight w:val="567"/>
        </w:trPr>
        <w:tc>
          <w:tcPr>
            <w:tcW w:w="1418" w:type="dxa"/>
            <w:vAlign w:val="center"/>
          </w:tcPr>
          <w:p w14:paraId="3B538962"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20 01 33</w:t>
            </w:r>
          </w:p>
        </w:tc>
        <w:tc>
          <w:tcPr>
            <w:tcW w:w="8222" w:type="dxa"/>
            <w:vAlign w:val="center"/>
          </w:tcPr>
          <w:p w14:paraId="0ECA5184" w14:textId="77777777" w:rsidR="002B3498" w:rsidRPr="002B3498" w:rsidRDefault="002B3498" w:rsidP="005D551C">
            <w:pPr>
              <w:pStyle w:val="Default"/>
              <w:rPr>
                <w:rFonts w:ascii="Arial" w:hAnsi="Arial" w:cs="Arial"/>
                <w:sz w:val="20"/>
                <w:szCs w:val="20"/>
              </w:rPr>
            </w:pPr>
            <w:r w:rsidRPr="002B3498">
              <w:rPr>
                <w:rFonts w:ascii="Arial" w:hAnsi="Arial" w:cs="Arial"/>
                <w:sz w:val="20"/>
                <w:szCs w:val="20"/>
              </w:rPr>
              <w:t>Baterías y acumuladores especificados en los códigos 16 06 01, 16 06 02 o 16 06 03 y baterías y acumuladores sin clasificar que contienen esas baterías</w:t>
            </w:r>
          </w:p>
        </w:tc>
      </w:tr>
    </w:tbl>
    <w:p w14:paraId="332B861D" w14:textId="77777777" w:rsidR="002B3498" w:rsidRPr="002B3498" w:rsidRDefault="002B3498" w:rsidP="002B3498">
      <w:pPr>
        <w:pStyle w:val="Default"/>
        <w:spacing w:line="360" w:lineRule="auto"/>
        <w:jc w:val="both"/>
        <w:rPr>
          <w:rFonts w:ascii="Arial" w:hAnsi="Arial" w:cs="Arial"/>
          <w:sz w:val="20"/>
          <w:szCs w:val="20"/>
        </w:rPr>
      </w:pPr>
    </w:p>
    <w:p w14:paraId="27C4E420" w14:textId="77777777" w:rsidR="002B3498" w:rsidRDefault="002B3498" w:rsidP="00206D99">
      <w:pPr>
        <w:pStyle w:val="Ttulo2"/>
      </w:pPr>
      <w:r w:rsidRPr="002B3498">
        <w:t>ESTIMACIÓN DE LA CANTIDAD DE RESIDUOS A CLASIFICAR</w:t>
      </w:r>
    </w:p>
    <w:p w14:paraId="2EEB4F63" w14:textId="77777777" w:rsidR="002B3498" w:rsidRPr="002B3498" w:rsidRDefault="002B3498" w:rsidP="002B3498"/>
    <w:p w14:paraId="47706515" w14:textId="77777777" w:rsidR="002B3498" w:rsidRPr="000609FE" w:rsidRDefault="002B3498" w:rsidP="000609FE">
      <w:pPr>
        <w:spacing w:line="360" w:lineRule="auto"/>
        <w:rPr>
          <w:rFonts w:cs="Arial"/>
          <w:sz w:val="20"/>
        </w:rPr>
      </w:pPr>
      <w:r w:rsidRPr="000609FE">
        <w:rPr>
          <w:rFonts w:cs="Arial"/>
          <w:sz w:val="20"/>
        </w:rPr>
        <w:t xml:space="preserve">Los residuos de construcción y demolición constituye la fracción mayoritaria de los residuos generados en el desmantelamiento de los antiguos depósitos de agua, para la posterior </w:t>
      </w:r>
      <w:proofErr w:type="spellStart"/>
      <w:r w:rsidRPr="000609FE">
        <w:rPr>
          <w:rFonts w:cs="Arial"/>
          <w:sz w:val="20"/>
        </w:rPr>
        <w:t>renaturalización</w:t>
      </w:r>
      <w:proofErr w:type="spellEnd"/>
      <w:r w:rsidRPr="000609FE">
        <w:rPr>
          <w:rFonts w:cs="Arial"/>
          <w:sz w:val="20"/>
        </w:rPr>
        <w:t xml:space="preserve"> de la zona.</w:t>
      </w:r>
    </w:p>
    <w:p w14:paraId="3DE2BF14" w14:textId="77777777" w:rsidR="002B3498" w:rsidRPr="000609FE" w:rsidRDefault="002B3498" w:rsidP="000609FE">
      <w:pPr>
        <w:spacing w:line="360" w:lineRule="auto"/>
        <w:rPr>
          <w:rFonts w:cs="Arial"/>
          <w:sz w:val="20"/>
        </w:rPr>
      </w:pPr>
      <w:r w:rsidRPr="000609FE">
        <w:rPr>
          <w:rFonts w:cs="Arial"/>
          <w:sz w:val="20"/>
        </w:rPr>
        <w:t xml:space="preserve">El Real Decreto 105/2008, de 1 de febrero, por el que se regula la producción y gestión de los residuos de construcción define el “residuo inerte”, el Decreto Foral 23/2011, de 28 de marzo, por el que se regula la producción y gestión de los residuos de construcción y demolición en el ámbito territorial de la Comunidad Foral de Navarra determina en su Artículo 2.2 a) cuando un residuo no tendrá la consideración de </w:t>
      </w:r>
      <w:proofErr w:type="spellStart"/>
      <w:r w:rsidRPr="000609FE">
        <w:rPr>
          <w:rFonts w:cs="Arial"/>
          <w:sz w:val="20"/>
        </w:rPr>
        <w:t>RCDs</w:t>
      </w:r>
      <w:proofErr w:type="spellEnd"/>
      <w:r w:rsidRPr="000609FE">
        <w:rPr>
          <w:rFonts w:cs="Arial"/>
          <w:sz w:val="20"/>
        </w:rPr>
        <w:t xml:space="preserve"> y la Ley 7/2022, de 8 de abril, de residuos y suelos contaminados para una economía circular determina las “condiciones a cumplir para que un residuo deje de tener la condición de residuo”.</w:t>
      </w:r>
    </w:p>
    <w:p w14:paraId="3EC9440C"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sz w:val="20"/>
          <w:szCs w:val="20"/>
        </w:rPr>
        <w:lastRenderedPageBreak/>
        <w:t>Con estas premisas se estima que la cantidad de residuos de construcción y demolición a gestionar será de 250 m</w:t>
      </w:r>
      <w:r w:rsidRPr="002B3498">
        <w:rPr>
          <w:rFonts w:ascii="Arial" w:hAnsi="Arial" w:cs="Arial"/>
          <w:sz w:val="20"/>
          <w:szCs w:val="20"/>
          <w:vertAlign w:val="superscript"/>
        </w:rPr>
        <w:t xml:space="preserve">3 </w:t>
      </w:r>
      <w:r w:rsidRPr="002B3498">
        <w:rPr>
          <w:rFonts w:ascii="Arial" w:hAnsi="Arial" w:cs="Arial"/>
          <w:sz w:val="20"/>
          <w:szCs w:val="20"/>
        </w:rPr>
        <w:t>y, teniendo en cuenta una densidad de 2,4 t/m</w:t>
      </w:r>
      <w:r w:rsidRPr="002B3498">
        <w:rPr>
          <w:rFonts w:ascii="Arial" w:hAnsi="Arial" w:cs="Arial"/>
          <w:sz w:val="20"/>
          <w:szCs w:val="20"/>
          <w:vertAlign w:val="superscript"/>
        </w:rPr>
        <w:t>3</w:t>
      </w:r>
      <w:r w:rsidRPr="002B3498">
        <w:rPr>
          <w:rFonts w:ascii="Arial" w:hAnsi="Arial" w:cs="Arial"/>
          <w:sz w:val="20"/>
          <w:szCs w:val="20"/>
        </w:rPr>
        <w:t>, un peso aproximado de 600 t, de los cuales se reutilizarán en relleno el 100%.</w:t>
      </w:r>
    </w:p>
    <w:p w14:paraId="4A445BC6" w14:textId="77777777" w:rsidR="002B3498" w:rsidRPr="002B3498" w:rsidRDefault="002B3498" w:rsidP="002B3498">
      <w:pPr>
        <w:pStyle w:val="Default"/>
        <w:spacing w:line="360" w:lineRule="auto"/>
        <w:jc w:val="both"/>
        <w:rPr>
          <w:rFonts w:ascii="Arial" w:hAnsi="Arial" w:cs="Arial"/>
          <w:sz w:val="20"/>
          <w:szCs w:val="20"/>
        </w:rPr>
      </w:pPr>
    </w:p>
    <w:p w14:paraId="3B81857C" w14:textId="77777777" w:rsidR="002B3498" w:rsidRPr="002B3498" w:rsidRDefault="002B3498" w:rsidP="002B3498">
      <w:pPr>
        <w:pStyle w:val="Default"/>
        <w:spacing w:line="360" w:lineRule="auto"/>
        <w:jc w:val="both"/>
        <w:rPr>
          <w:rFonts w:ascii="Arial" w:hAnsi="Arial" w:cs="Arial"/>
          <w:sz w:val="20"/>
          <w:szCs w:val="20"/>
        </w:rPr>
      </w:pPr>
      <w:r w:rsidRPr="002B3498">
        <w:rPr>
          <w:rFonts w:ascii="Arial" w:hAnsi="Arial" w:cs="Arial"/>
          <w:sz w:val="20"/>
          <w:szCs w:val="20"/>
        </w:rPr>
        <w:t xml:space="preserve">El resto de residuos a clasificar vienen derivados del vertido incontrolado de particulares en la zona. La naturaleza de estos residuos es variada y se encuentran diseminados por toda la zona de </w:t>
      </w:r>
      <w:proofErr w:type="spellStart"/>
      <w:r w:rsidRPr="002B3498">
        <w:rPr>
          <w:rFonts w:ascii="Arial" w:hAnsi="Arial" w:cs="Arial"/>
          <w:sz w:val="20"/>
          <w:szCs w:val="20"/>
        </w:rPr>
        <w:t>estudio.El</w:t>
      </w:r>
      <w:proofErr w:type="spellEnd"/>
      <w:r w:rsidRPr="002B3498">
        <w:rPr>
          <w:rFonts w:ascii="Arial" w:hAnsi="Arial" w:cs="Arial"/>
          <w:sz w:val="20"/>
          <w:szCs w:val="20"/>
        </w:rPr>
        <w:t xml:space="preserve"> cálculo estimado de las cantidades de estos residuos, es de 80 m</w:t>
      </w:r>
      <w:r w:rsidRPr="002B3498">
        <w:rPr>
          <w:rFonts w:ascii="Arial" w:hAnsi="Arial" w:cs="Arial"/>
          <w:sz w:val="20"/>
          <w:szCs w:val="20"/>
          <w:vertAlign w:val="superscript"/>
        </w:rPr>
        <w:t>3</w:t>
      </w:r>
      <w:r w:rsidRPr="002B3498">
        <w:rPr>
          <w:rFonts w:ascii="Arial" w:hAnsi="Arial" w:cs="Arial"/>
          <w:sz w:val="20"/>
          <w:szCs w:val="20"/>
        </w:rPr>
        <w:t xml:space="preserve"> y una magnitud en peso no disponible debido a su variada tipología.</w:t>
      </w:r>
    </w:p>
    <w:p w14:paraId="72EAB59E" w14:textId="77777777" w:rsidR="002B3498" w:rsidRDefault="002B3498" w:rsidP="002B3498">
      <w:pPr>
        <w:pStyle w:val="Default"/>
        <w:spacing w:line="360" w:lineRule="auto"/>
        <w:jc w:val="both"/>
        <w:rPr>
          <w:rFonts w:ascii="Arial" w:hAnsi="Arial" w:cs="Arial"/>
          <w:sz w:val="20"/>
          <w:szCs w:val="20"/>
        </w:rPr>
      </w:pPr>
    </w:p>
    <w:p w14:paraId="6A853480" w14:textId="77777777" w:rsidR="000609FE" w:rsidRPr="002B3498" w:rsidRDefault="000609FE" w:rsidP="002B3498">
      <w:pPr>
        <w:pStyle w:val="Default"/>
        <w:spacing w:line="360" w:lineRule="auto"/>
        <w:jc w:val="both"/>
        <w:rPr>
          <w:rFonts w:ascii="Arial" w:hAnsi="Arial" w:cs="Arial"/>
          <w:sz w:val="20"/>
          <w:szCs w:val="20"/>
        </w:rPr>
      </w:pPr>
    </w:p>
    <w:p w14:paraId="31466ADB" w14:textId="77777777" w:rsidR="002B3498" w:rsidRDefault="002B3498" w:rsidP="000609FE">
      <w:pPr>
        <w:pStyle w:val="Ttulo1"/>
      </w:pPr>
      <w:r w:rsidRPr="000609FE">
        <w:t>MEDIDAS DE PREVENCIÓN Y GESTIÓN DE RESIDUOS</w:t>
      </w:r>
    </w:p>
    <w:p w14:paraId="133C0B10" w14:textId="77777777" w:rsidR="000609FE" w:rsidRPr="000609FE" w:rsidRDefault="000609FE" w:rsidP="000609FE"/>
    <w:p w14:paraId="757E2228" w14:textId="77777777" w:rsidR="002B3498" w:rsidRDefault="002B3498" w:rsidP="00206D99">
      <w:pPr>
        <w:pStyle w:val="Ttulo2"/>
      </w:pPr>
      <w:r w:rsidRPr="002B3498">
        <w:t>MEDIDAS PARA LA PREVENCIÓN DE RESIDUOS</w:t>
      </w:r>
    </w:p>
    <w:p w14:paraId="01812242" w14:textId="77777777" w:rsidR="000609FE" w:rsidRPr="000609FE" w:rsidRDefault="000609FE" w:rsidP="000609FE"/>
    <w:p w14:paraId="02F14721" w14:textId="77777777" w:rsidR="002B3498" w:rsidRPr="002B3498" w:rsidRDefault="002B3498" w:rsidP="002B3498">
      <w:pPr>
        <w:pStyle w:val="Default"/>
        <w:spacing w:line="360" w:lineRule="auto"/>
        <w:contextualSpacing/>
        <w:jc w:val="both"/>
        <w:rPr>
          <w:rFonts w:ascii="Arial" w:hAnsi="Arial" w:cs="Arial"/>
          <w:sz w:val="20"/>
          <w:szCs w:val="20"/>
        </w:rPr>
      </w:pPr>
      <w:r w:rsidRPr="002B3498">
        <w:rPr>
          <w:rFonts w:ascii="Arial" w:hAnsi="Arial" w:cs="Arial"/>
          <w:sz w:val="20"/>
          <w:szCs w:val="20"/>
        </w:rPr>
        <w:t>Las medidas para la prevención de residuos en la ejecución del proyecto, serán las que se enumeran a continuación:</w:t>
      </w:r>
    </w:p>
    <w:p w14:paraId="7D42745B" w14:textId="77777777" w:rsidR="002B3498" w:rsidRPr="002B3498" w:rsidRDefault="002B3498" w:rsidP="001562A4">
      <w:pPr>
        <w:pStyle w:val="Default"/>
        <w:numPr>
          <w:ilvl w:val="0"/>
          <w:numId w:val="4"/>
        </w:numPr>
        <w:spacing w:line="360" w:lineRule="auto"/>
        <w:contextualSpacing/>
        <w:jc w:val="both"/>
        <w:rPr>
          <w:rFonts w:ascii="Arial" w:hAnsi="Arial" w:cs="Arial"/>
          <w:sz w:val="20"/>
          <w:szCs w:val="20"/>
        </w:rPr>
      </w:pPr>
      <w:r w:rsidRPr="002B3498">
        <w:rPr>
          <w:rFonts w:ascii="Arial" w:hAnsi="Arial" w:cs="Arial"/>
          <w:sz w:val="20"/>
          <w:szCs w:val="20"/>
        </w:rPr>
        <w:t>Reducir la generación de residuos en la construcción y demolición, tomando en consideración las mejores técnicas disponibles y las buenas prácticas ambientales.</w:t>
      </w:r>
    </w:p>
    <w:p w14:paraId="7976D02D" w14:textId="77777777" w:rsidR="002B3498" w:rsidRPr="002B3498" w:rsidRDefault="002B3498" w:rsidP="001562A4">
      <w:pPr>
        <w:pStyle w:val="Default"/>
        <w:numPr>
          <w:ilvl w:val="0"/>
          <w:numId w:val="4"/>
        </w:numPr>
        <w:spacing w:line="360" w:lineRule="auto"/>
        <w:contextualSpacing/>
        <w:jc w:val="both"/>
        <w:rPr>
          <w:rFonts w:ascii="Arial" w:hAnsi="Arial" w:cs="Arial"/>
          <w:sz w:val="20"/>
          <w:szCs w:val="20"/>
        </w:rPr>
      </w:pPr>
      <w:r w:rsidRPr="002B3498">
        <w:rPr>
          <w:rFonts w:ascii="Arial" w:hAnsi="Arial" w:cs="Arial"/>
          <w:sz w:val="20"/>
          <w:szCs w:val="20"/>
        </w:rPr>
        <w:t>Reducir la generación de residuos, particularmente de los residuos que no son aptos para su preparación para reutilización o para su reciclado.</w:t>
      </w:r>
    </w:p>
    <w:p w14:paraId="5E1D4EB3" w14:textId="77777777" w:rsidR="002B3498" w:rsidRPr="002B3498" w:rsidRDefault="002B3498" w:rsidP="001562A4">
      <w:pPr>
        <w:pStyle w:val="Default"/>
        <w:numPr>
          <w:ilvl w:val="0"/>
          <w:numId w:val="4"/>
        </w:numPr>
        <w:spacing w:line="360" w:lineRule="auto"/>
        <w:contextualSpacing/>
        <w:jc w:val="both"/>
        <w:rPr>
          <w:rFonts w:ascii="Arial" w:hAnsi="Arial" w:cs="Arial"/>
          <w:sz w:val="20"/>
          <w:szCs w:val="20"/>
        </w:rPr>
      </w:pPr>
      <w:r w:rsidRPr="002B3498">
        <w:rPr>
          <w:rFonts w:ascii="Arial" w:hAnsi="Arial" w:cs="Arial"/>
          <w:sz w:val="20"/>
          <w:szCs w:val="20"/>
        </w:rPr>
        <w:t>Promover y facilitar la reincorporación en las cadenas de valor de subproductos o de materias, sustancias u objetos para los que se ha declarado el fin de la condición de residuo.</w:t>
      </w:r>
    </w:p>
    <w:p w14:paraId="256108B6" w14:textId="77777777" w:rsidR="002B3498" w:rsidRPr="002B3498" w:rsidRDefault="002B3498" w:rsidP="001562A4">
      <w:pPr>
        <w:pStyle w:val="Default"/>
        <w:numPr>
          <w:ilvl w:val="0"/>
          <w:numId w:val="4"/>
        </w:numPr>
        <w:spacing w:line="360" w:lineRule="auto"/>
        <w:contextualSpacing/>
        <w:jc w:val="both"/>
        <w:rPr>
          <w:rFonts w:ascii="Arial" w:hAnsi="Arial" w:cs="Arial"/>
          <w:sz w:val="20"/>
          <w:szCs w:val="20"/>
        </w:rPr>
      </w:pPr>
      <w:r w:rsidRPr="002B3498">
        <w:rPr>
          <w:rFonts w:ascii="Arial" w:hAnsi="Arial" w:cs="Arial"/>
          <w:sz w:val="20"/>
          <w:szCs w:val="20"/>
        </w:rPr>
        <w:t>En la medida de lo posible, las tareas de derribo se realizarán empleando técnicas de derribo selectivas con el fin de favorecer la reutilización, reciclado y valoración de los residuos.</w:t>
      </w:r>
    </w:p>
    <w:p w14:paraId="580B132E" w14:textId="77777777" w:rsidR="000609FE" w:rsidRPr="000609FE" w:rsidRDefault="002B3498" w:rsidP="001562A4">
      <w:pPr>
        <w:pStyle w:val="Prrafodelista"/>
        <w:widowControl/>
        <w:numPr>
          <w:ilvl w:val="0"/>
          <w:numId w:val="4"/>
        </w:numPr>
        <w:autoSpaceDE/>
        <w:autoSpaceDN/>
        <w:adjustRightInd/>
        <w:spacing w:after="200" w:line="360" w:lineRule="auto"/>
        <w:contextualSpacing/>
        <w:rPr>
          <w:rFonts w:cs="Arial"/>
          <w:sz w:val="20"/>
          <w:szCs w:val="20"/>
        </w:rPr>
      </w:pPr>
      <w:r w:rsidRPr="000609FE">
        <w:rPr>
          <w:rFonts w:cs="Arial"/>
          <w:color w:val="000000"/>
          <w:sz w:val="20"/>
          <w:szCs w:val="20"/>
        </w:rPr>
        <w:t>Fomentar el uso de productos que sean eficientes en el uso de recursos, duraderos y fiables (también en términos de vida útil y ausencia de obsolescencia prematura), reparables, reutilizables y actualizables.</w:t>
      </w:r>
    </w:p>
    <w:p w14:paraId="352CAE2E" w14:textId="77777777" w:rsidR="000609FE" w:rsidRDefault="002B3498" w:rsidP="001562A4">
      <w:pPr>
        <w:pStyle w:val="Prrafodelista"/>
        <w:widowControl/>
        <w:numPr>
          <w:ilvl w:val="0"/>
          <w:numId w:val="4"/>
        </w:numPr>
        <w:autoSpaceDE/>
        <w:autoSpaceDN/>
        <w:adjustRightInd/>
        <w:spacing w:after="200" w:line="360" w:lineRule="auto"/>
        <w:contextualSpacing/>
        <w:rPr>
          <w:rFonts w:cs="Arial"/>
          <w:sz w:val="20"/>
          <w:szCs w:val="20"/>
        </w:rPr>
      </w:pPr>
      <w:r w:rsidRPr="000609FE">
        <w:rPr>
          <w:rFonts w:cs="Arial"/>
          <w:sz w:val="20"/>
          <w:szCs w:val="20"/>
        </w:rPr>
        <w:t>La adquisición de materiales se ajustará al máximo para evitar la aparición de excedentes de material al final de la obra.</w:t>
      </w:r>
    </w:p>
    <w:p w14:paraId="4FA6DB9D" w14:textId="77777777" w:rsidR="000609FE" w:rsidRDefault="002B3498" w:rsidP="001562A4">
      <w:pPr>
        <w:pStyle w:val="Prrafodelista"/>
        <w:widowControl/>
        <w:numPr>
          <w:ilvl w:val="0"/>
          <w:numId w:val="4"/>
        </w:numPr>
        <w:autoSpaceDE/>
        <w:autoSpaceDN/>
        <w:adjustRightInd/>
        <w:spacing w:after="200" w:line="360" w:lineRule="auto"/>
        <w:contextualSpacing/>
        <w:rPr>
          <w:rFonts w:cs="Arial"/>
          <w:sz w:val="20"/>
          <w:szCs w:val="20"/>
        </w:rPr>
      </w:pPr>
      <w:r w:rsidRPr="000609FE">
        <w:rPr>
          <w:rFonts w:cs="Arial"/>
          <w:sz w:val="20"/>
          <w:szCs w:val="20"/>
        </w:rPr>
        <w:t>Se priorizará la adquisición de productos que utilicen envases y embalajes fabricados con materia primas renovables, reciclables y biodegradables, como el papel, el cartón ondulado, el cartón compacto o la madera, procedentes de residuos.</w:t>
      </w:r>
    </w:p>
    <w:p w14:paraId="7B768521" w14:textId="77777777" w:rsidR="000609FE" w:rsidRDefault="002B3498" w:rsidP="001562A4">
      <w:pPr>
        <w:pStyle w:val="Prrafodelista"/>
        <w:widowControl/>
        <w:numPr>
          <w:ilvl w:val="0"/>
          <w:numId w:val="4"/>
        </w:numPr>
        <w:autoSpaceDE/>
        <w:autoSpaceDN/>
        <w:adjustRightInd/>
        <w:spacing w:after="200" w:line="360" w:lineRule="auto"/>
        <w:contextualSpacing/>
        <w:rPr>
          <w:rFonts w:cs="Arial"/>
          <w:sz w:val="20"/>
          <w:szCs w:val="20"/>
        </w:rPr>
      </w:pPr>
      <w:r w:rsidRPr="000609FE">
        <w:rPr>
          <w:rFonts w:cs="Arial"/>
          <w:sz w:val="20"/>
          <w:szCs w:val="20"/>
        </w:rPr>
        <w:t>Se priorizará la adquisición de productos "a granel" con el fin de limitar la aparición de residuos en el proyecto.</w:t>
      </w:r>
    </w:p>
    <w:p w14:paraId="1653073C" w14:textId="0CDE3F86" w:rsidR="002B3498" w:rsidRPr="000609FE" w:rsidRDefault="002B3498" w:rsidP="001562A4">
      <w:pPr>
        <w:pStyle w:val="Prrafodelista"/>
        <w:widowControl/>
        <w:numPr>
          <w:ilvl w:val="0"/>
          <w:numId w:val="4"/>
        </w:numPr>
        <w:autoSpaceDE/>
        <w:autoSpaceDN/>
        <w:adjustRightInd/>
        <w:spacing w:after="200" w:line="360" w:lineRule="auto"/>
        <w:contextualSpacing/>
        <w:rPr>
          <w:rFonts w:cs="Arial"/>
          <w:sz w:val="20"/>
          <w:szCs w:val="20"/>
        </w:rPr>
      </w:pPr>
      <w:r w:rsidRPr="000609FE">
        <w:rPr>
          <w:rFonts w:cs="Arial"/>
          <w:sz w:val="20"/>
          <w:szCs w:val="20"/>
        </w:rPr>
        <w:t xml:space="preserve">Aquellos envases o soportes de materiales que puedan ser reutilizados como los </w:t>
      </w:r>
      <w:proofErr w:type="spellStart"/>
      <w:r w:rsidRPr="000609FE">
        <w:rPr>
          <w:rFonts w:cs="Arial"/>
          <w:sz w:val="20"/>
          <w:szCs w:val="20"/>
        </w:rPr>
        <w:t>palets</w:t>
      </w:r>
      <w:proofErr w:type="spellEnd"/>
      <w:r w:rsidRPr="000609FE">
        <w:rPr>
          <w:rFonts w:cs="Arial"/>
          <w:sz w:val="20"/>
          <w:szCs w:val="20"/>
        </w:rPr>
        <w:t>, se evitará su deterioro y se devolverán al proveedor.</w:t>
      </w:r>
    </w:p>
    <w:p w14:paraId="0A493BFA" w14:textId="77777777" w:rsidR="002B3498" w:rsidRPr="002B3498" w:rsidRDefault="002B3498" w:rsidP="001562A4">
      <w:pPr>
        <w:pStyle w:val="Prrafodelista"/>
        <w:widowControl/>
        <w:numPr>
          <w:ilvl w:val="0"/>
          <w:numId w:val="4"/>
        </w:numPr>
        <w:spacing w:line="360" w:lineRule="auto"/>
        <w:contextualSpacing/>
        <w:rPr>
          <w:rFonts w:cs="Arial"/>
          <w:color w:val="000000"/>
          <w:sz w:val="20"/>
          <w:szCs w:val="20"/>
        </w:rPr>
      </w:pPr>
      <w:r w:rsidRPr="002B3498">
        <w:rPr>
          <w:rFonts w:cs="Arial"/>
          <w:color w:val="000000"/>
          <w:sz w:val="20"/>
          <w:szCs w:val="20"/>
        </w:rPr>
        <w:t>Se preverá el acopio de materiales fuera de zonas de tránsito de la obra, de forma, que permanezcan bien embalados y protegidos hasta el momento de su utilización, con el fin de evitar residuos procedentes de roturas.</w:t>
      </w:r>
    </w:p>
    <w:p w14:paraId="368E9B9F" w14:textId="77777777" w:rsidR="002B3498" w:rsidRPr="002B3498" w:rsidRDefault="002B3498" w:rsidP="001562A4">
      <w:pPr>
        <w:pStyle w:val="Prrafodelista"/>
        <w:widowControl/>
        <w:numPr>
          <w:ilvl w:val="0"/>
          <w:numId w:val="4"/>
        </w:numPr>
        <w:spacing w:line="360" w:lineRule="auto"/>
        <w:contextualSpacing/>
        <w:rPr>
          <w:rFonts w:cs="Arial"/>
          <w:color w:val="000000"/>
          <w:sz w:val="20"/>
          <w:szCs w:val="20"/>
        </w:rPr>
      </w:pPr>
      <w:r w:rsidRPr="002B3498">
        <w:rPr>
          <w:rFonts w:cs="Arial"/>
          <w:color w:val="000000"/>
          <w:sz w:val="20"/>
          <w:szCs w:val="20"/>
        </w:rPr>
        <w:t>Se realizarán inspecciones periódicas de materiales, productos y residuos acopiados o almacenados para garantizar que se mantiene en las debidas condiciones.</w:t>
      </w:r>
    </w:p>
    <w:p w14:paraId="17F4E646" w14:textId="77777777" w:rsidR="002B3498" w:rsidRPr="002B3498" w:rsidRDefault="002B3498" w:rsidP="001562A4">
      <w:pPr>
        <w:pStyle w:val="Default"/>
        <w:numPr>
          <w:ilvl w:val="0"/>
          <w:numId w:val="4"/>
        </w:numPr>
        <w:spacing w:line="360" w:lineRule="auto"/>
        <w:contextualSpacing/>
        <w:jc w:val="both"/>
        <w:rPr>
          <w:rFonts w:ascii="Arial" w:hAnsi="Arial" w:cs="Arial"/>
          <w:sz w:val="20"/>
          <w:szCs w:val="20"/>
        </w:rPr>
      </w:pPr>
      <w:r w:rsidRPr="002B3498">
        <w:rPr>
          <w:rFonts w:ascii="Arial" w:hAnsi="Arial" w:cs="Arial"/>
          <w:sz w:val="20"/>
          <w:szCs w:val="20"/>
        </w:rPr>
        <w:t>Todo personal involucrado en la obra dispondrá de los conocimientos mínimos de prevención de residuos y correcta gestión de ellos.</w:t>
      </w:r>
    </w:p>
    <w:p w14:paraId="2932D828" w14:textId="77777777" w:rsidR="002B3498" w:rsidRPr="002B3498" w:rsidRDefault="002B3498" w:rsidP="002B3498">
      <w:pPr>
        <w:pStyle w:val="Default"/>
        <w:spacing w:line="360" w:lineRule="auto"/>
        <w:contextualSpacing/>
        <w:jc w:val="both"/>
        <w:rPr>
          <w:rFonts w:ascii="Arial" w:hAnsi="Arial" w:cs="Arial"/>
          <w:sz w:val="20"/>
          <w:szCs w:val="20"/>
        </w:rPr>
      </w:pPr>
    </w:p>
    <w:p w14:paraId="1E9B505F" w14:textId="77777777" w:rsidR="002B3498" w:rsidRDefault="002B3498" w:rsidP="00206D99">
      <w:pPr>
        <w:pStyle w:val="Ttulo2"/>
      </w:pPr>
      <w:r w:rsidRPr="002B3498">
        <w:t>MEDIDAS PARA LA SEPARACIÓN Y GESTIÓN DE RESIDUOS</w:t>
      </w:r>
    </w:p>
    <w:p w14:paraId="23574D68" w14:textId="77777777" w:rsidR="000609FE" w:rsidRPr="000609FE" w:rsidRDefault="000609FE" w:rsidP="000609FE"/>
    <w:p w14:paraId="47671E2F" w14:textId="77777777" w:rsidR="002B3498" w:rsidRPr="002B3498" w:rsidRDefault="002B3498" w:rsidP="002B3498">
      <w:pPr>
        <w:pStyle w:val="Default"/>
        <w:spacing w:line="360" w:lineRule="auto"/>
        <w:contextualSpacing/>
        <w:jc w:val="both"/>
        <w:rPr>
          <w:rFonts w:ascii="Arial" w:hAnsi="Arial" w:cs="Arial"/>
          <w:sz w:val="20"/>
          <w:szCs w:val="20"/>
        </w:rPr>
      </w:pPr>
      <w:r w:rsidRPr="002B3498">
        <w:rPr>
          <w:rFonts w:ascii="Arial" w:hAnsi="Arial" w:cs="Arial"/>
          <w:sz w:val="20"/>
          <w:szCs w:val="20"/>
        </w:rPr>
        <w:t>Hay que destacar que la separación de residuos en obra facilitará su reutilización, valorización y eliminación posterior.</w:t>
      </w:r>
    </w:p>
    <w:p w14:paraId="4E751CB1" w14:textId="77777777" w:rsidR="000609FE" w:rsidRDefault="000609FE" w:rsidP="002B3498">
      <w:pPr>
        <w:pStyle w:val="Default"/>
        <w:spacing w:line="360" w:lineRule="auto"/>
        <w:contextualSpacing/>
        <w:jc w:val="both"/>
        <w:rPr>
          <w:rFonts w:ascii="Arial" w:hAnsi="Arial" w:cs="Arial"/>
          <w:sz w:val="20"/>
          <w:szCs w:val="20"/>
        </w:rPr>
      </w:pPr>
    </w:p>
    <w:p w14:paraId="59FDCA76" w14:textId="77777777" w:rsidR="002B3498" w:rsidRPr="002B3498" w:rsidRDefault="002B3498" w:rsidP="002B3498">
      <w:pPr>
        <w:pStyle w:val="Default"/>
        <w:spacing w:line="360" w:lineRule="auto"/>
        <w:contextualSpacing/>
        <w:jc w:val="both"/>
        <w:rPr>
          <w:rFonts w:ascii="Arial" w:hAnsi="Arial" w:cs="Arial"/>
          <w:sz w:val="20"/>
          <w:szCs w:val="20"/>
        </w:rPr>
      </w:pPr>
      <w:r w:rsidRPr="002B3498">
        <w:rPr>
          <w:rFonts w:ascii="Arial" w:hAnsi="Arial" w:cs="Arial"/>
          <w:sz w:val="20"/>
          <w:szCs w:val="20"/>
        </w:rPr>
        <w:t>En base al artículo 5.5 del RD 105/2008 y al artículo 5.4 del Decreto Foral 23/2011, los residuos de construcción y demolición deberán separarse en las siguientes fracciones, cuando, de forma individualizada para cada una de dichas fracciones, la cantidad prevista de generación para el total de la obra supere las siguientes cantidades:</w:t>
      </w:r>
    </w:p>
    <w:p w14:paraId="56566D51" w14:textId="77777777" w:rsidR="000609FE" w:rsidRDefault="000609FE" w:rsidP="002B3498">
      <w:pPr>
        <w:pStyle w:val="Default"/>
        <w:spacing w:line="360" w:lineRule="auto"/>
        <w:contextualSpacing/>
        <w:jc w:val="both"/>
        <w:rPr>
          <w:rFonts w:ascii="Arial" w:hAnsi="Arial" w:cs="Arial"/>
          <w:sz w:val="20"/>
          <w:szCs w:val="20"/>
        </w:rPr>
      </w:pPr>
    </w:p>
    <w:p w14:paraId="784D0574" w14:textId="77777777" w:rsidR="002B3498" w:rsidRPr="002B3498" w:rsidRDefault="002B3498" w:rsidP="002B3498">
      <w:pPr>
        <w:pStyle w:val="Default"/>
        <w:spacing w:line="360" w:lineRule="auto"/>
        <w:contextualSpacing/>
        <w:jc w:val="both"/>
        <w:rPr>
          <w:rFonts w:ascii="Arial" w:hAnsi="Arial" w:cs="Arial"/>
          <w:sz w:val="20"/>
          <w:szCs w:val="20"/>
        </w:rPr>
      </w:pPr>
      <w:r w:rsidRPr="002B3498">
        <w:rPr>
          <w:rFonts w:ascii="Arial" w:hAnsi="Arial" w:cs="Arial"/>
          <w:sz w:val="20"/>
          <w:szCs w:val="20"/>
        </w:rPr>
        <w:t>Hormigón: 80 t.</w:t>
      </w:r>
    </w:p>
    <w:p w14:paraId="3DD72542" w14:textId="77777777" w:rsidR="002B3498" w:rsidRPr="002B3498" w:rsidRDefault="002B3498" w:rsidP="002B3498">
      <w:pPr>
        <w:pStyle w:val="Default"/>
        <w:spacing w:line="360" w:lineRule="auto"/>
        <w:contextualSpacing/>
        <w:jc w:val="both"/>
        <w:rPr>
          <w:rFonts w:ascii="Arial" w:hAnsi="Arial" w:cs="Arial"/>
          <w:sz w:val="20"/>
          <w:szCs w:val="20"/>
        </w:rPr>
      </w:pPr>
      <w:r w:rsidRPr="002B3498">
        <w:rPr>
          <w:rFonts w:ascii="Arial" w:hAnsi="Arial" w:cs="Arial"/>
          <w:sz w:val="20"/>
          <w:szCs w:val="20"/>
        </w:rPr>
        <w:t>Ladrillos, tejas, cerámicos: 40 t.</w:t>
      </w:r>
    </w:p>
    <w:p w14:paraId="01BD2108" w14:textId="77777777" w:rsidR="002B3498" w:rsidRPr="002B3498" w:rsidRDefault="002B3498" w:rsidP="002B3498">
      <w:pPr>
        <w:pStyle w:val="Default"/>
        <w:spacing w:line="360" w:lineRule="auto"/>
        <w:contextualSpacing/>
        <w:jc w:val="both"/>
        <w:rPr>
          <w:rFonts w:ascii="Arial" w:hAnsi="Arial" w:cs="Arial"/>
          <w:sz w:val="20"/>
          <w:szCs w:val="20"/>
        </w:rPr>
      </w:pPr>
      <w:r w:rsidRPr="002B3498">
        <w:rPr>
          <w:rFonts w:ascii="Arial" w:hAnsi="Arial" w:cs="Arial"/>
          <w:sz w:val="20"/>
          <w:szCs w:val="20"/>
        </w:rPr>
        <w:t>Metal: 2 t.</w:t>
      </w:r>
    </w:p>
    <w:p w14:paraId="4FA8F165" w14:textId="77777777" w:rsidR="002B3498" w:rsidRPr="002B3498" w:rsidRDefault="002B3498" w:rsidP="002B3498">
      <w:pPr>
        <w:pStyle w:val="Default"/>
        <w:spacing w:line="360" w:lineRule="auto"/>
        <w:contextualSpacing/>
        <w:jc w:val="both"/>
        <w:rPr>
          <w:rFonts w:ascii="Arial" w:hAnsi="Arial" w:cs="Arial"/>
          <w:sz w:val="20"/>
          <w:szCs w:val="20"/>
        </w:rPr>
      </w:pPr>
      <w:r w:rsidRPr="002B3498">
        <w:rPr>
          <w:rFonts w:ascii="Arial" w:hAnsi="Arial" w:cs="Arial"/>
          <w:sz w:val="20"/>
          <w:szCs w:val="20"/>
        </w:rPr>
        <w:t>Madera: 1 t.</w:t>
      </w:r>
    </w:p>
    <w:p w14:paraId="1F418018" w14:textId="77777777" w:rsidR="002B3498" w:rsidRPr="002B3498" w:rsidRDefault="002B3498" w:rsidP="002B3498">
      <w:pPr>
        <w:pStyle w:val="Default"/>
        <w:spacing w:line="360" w:lineRule="auto"/>
        <w:contextualSpacing/>
        <w:jc w:val="both"/>
        <w:rPr>
          <w:rFonts w:ascii="Arial" w:hAnsi="Arial" w:cs="Arial"/>
          <w:sz w:val="20"/>
          <w:szCs w:val="20"/>
        </w:rPr>
      </w:pPr>
      <w:r w:rsidRPr="002B3498">
        <w:rPr>
          <w:rFonts w:ascii="Arial" w:hAnsi="Arial" w:cs="Arial"/>
          <w:sz w:val="20"/>
          <w:szCs w:val="20"/>
        </w:rPr>
        <w:t>Vidrio: 1 t.</w:t>
      </w:r>
    </w:p>
    <w:p w14:paraId="2EDBDF61" w14:textId="77777777" w:rsidR="002B3498" w:rsidRPr="002B3498" w:rsidRDefault="002B3498" w:rsidP="002B3498">
      <w:pPr>
        <w:pStyle w:val="Default"/>
        <w:spacing w:line="360" w:lineRule="auto"/>
        <w:contextualSpacing/>
        <w:jc w:val="both"/>
        <w:rPr>
          <w:rFonts w:ascii="Arial" w:hAnsi="Arial" w:cs="Arial"/>
          <w:sz w:val="20"/>
          <w:szCs w:val="20"/>
        </w:rPr>
      </w:pPr>
      <w:r w:rsidRPr="002B3498">
        <w:rPr>
          <w:rFonts w:ascii="Arial" w:hAnsi="Arial" w:cs="Arial"/>
          <w:sz w:val="20"/>
          <w:szCs w:val="20"/>
        </w:rPr>
        <w:t>Plástico: 0,5 t.</w:t>
      </w:r>
    </w:p>
    <w:p w14:paraId="44154ABB" w14:textId="77777777" w:rsidR="002B3498" w:rsidRPr="002B3498" w:rsidRDefault="002B3498" w:rsidP="002B3498">
      <w:pPr>
        <w:pStyle w:val="Default"/>
        <w:spacing w:line="360" w:lineRule="auto"/>
        <w:contextualSpacing/>
        <w:jc w:val="both"/>
        <w:rPr>
          <w:rFonts w:ascii="Arial" w:hAnsi="Arial" w:cs="Arial"/>
          <w:sz w:val="20"/>
          <w:szCs w:val="20"/>
        </w:rPr>
      </w:pPr>
      <w:r w:rsidRPr="002B3498">
        <w:rPr>
          <w:rFonts w:ascii="Arial" w:hAnsi="Arial" w:cs="Arial"/>
          <w:sz w:val="20"/>
          <w:szCs w:val="20"/>
        </w:rPr>
        <w:t>Papel y cartón: 0,5 t.</w:t>
      </w:r>
    </w:p>
    <w:p w14:paraId="67414807" w14:textId="77777777" w:rsidR="000609FE" w:rsidRDefault="000609FE" w:rsidP="002B3498">
      <w:pPr>
        <w:pStyle w:val="Default"/>
        <w:spacing w:line="360" w:lineRule="auto"/>
        <w:contextualSpacing/>
        <w:jc w:val="both"/>
        <w:rPr>
          <w:rFonts w:ascii="Arial" w:hAnsi="Arial" w:cs="Arial"/>
          <w:sz w:val="20"/>
          <w:szCs w:val="20"/>
        </w:rPr>
      </w:pPr>
    </w:p>
    <w:p w14:paraId="7FE0AE23" w14:textId="77777777" w:rsidR="002B3498" w:rsidRDefault="002B3498" w:rsidP="002B3498">
      <w:pPr>
        <w:pStyle w:val="Default"/>
        <w:spacing w:line="360" w:lineRule="auto"/>
        <w:contextualSpacing/>
        <w:jc w:val="both"/>
        <w:rPr>
          <w:rFonts w:ascii="Arial" w:hAnsi="Arial" w:cs="Arial"/>
          <w:sz w:val="20"/>
          <w:szCs w:val="20"/>
        </w:rPr>
      </w:pPr>
      <w:r w:rsidRPr="002B3498">
        <w:rPr>
          <w:rFonts w:ascii="Arial" w:hAnsi="Arial" w:cs="Arial"/>
          <w:sz w:val="20"/>
          <w:szCs w:val="20"/>
        </w:rPr>
        <w:t>El resto de residuos, no incluidos en el epígrafe de residuos de construcción y demolición, requerirán también una gestión en obra, que aunque no siendo obligatoria sí es muy recomendable. Algunas de estas medidas serán:</w:t>
      </w:r>
    </w:p>
    <w:p w14:paraId="7DDA9E92" w14:textId="77777777" w:rsidR="000609FE" w:rsidRPr="002B3498" w:rsidRDefault="000609FE" w:rsidP="000609FE">
      <w:pPr>
        <w:pStyle w:val="Default"/>
        <w:contextualSpacing/>
        <w:jc w:val="both"/>
        <w:rPr>
          <w:rFonts w:ascii="Arial" w:hAnsi="Arial" w:cs="Arial"/>
          <w:sz w:val="20"/>
          <w:szCs w:val="20"/>
        </w:rPr>
      </w:pPr>
    </w:p>
    <w:p w14:paraId="69857C7C" w14:textId="77777777" w:rsidR="002B3498" w:rsidRPr="002B3498" w:rsidRDefault="002B3498" w:rsidP="001562A4">
      <w:pPr>
        <w:pStyle w:val="Default"/>
        <w:numPr>
          <w:ilvl w:val="0"/>
          <w:numId w:val="4"/>
        </w:numPr>
        <w:spacing w:line="360" w:lineRule="auto"/>
        <w:contextualSpacing/>
        <w:jc w:val="both"/>
        <w:rPr>
          <w:rFonts w:ascii="Arial" w:hAnsi="Arial" w:cs="Arial"/>
          <w:sz w:val="20"/>
          <w:szCs w:val="20"/>
        </w:rPr>
      </w:pPr>
      <w:r w:rsidRPr="002B3498">
        <w:rPr>
          <w:rFonts w:ascii="Arial" w:hAnsi="Arial" w:cs="Arial"/>
          <w:sz w:val="20"/>
          <w:szCs w:val="20"/>
        </w:rPr>
        <w:t>La gestión de residuos recaerá en un gestor autorizado que realizará las operaciones de valorización.</w:t>
      </w:r>
    </w:p>
    <w:p w14:paraId="41057FFB" w14:textId="77777777" w:rsidR="002B3498" w:rsidRPr="002B3498" w:rsidRDefault="002B3498" w:rsidP="001562A4">
      <w:pPr>
        <w:pStyle w:val="Default"/>
        <w:numPr>
          <w:ilvl w:val="0"/>
          <w:numId w:val="4"/>
        </w:numPr>
        <w:spacing w:line="360" w:lineRule="auto"/>
        <w:contextualSpacing/>
        <w:jc w:val="both"/>
        <w:rPr>
          <w:rFonts w:ascii="Arial" w:hAnsi="Arial" w:cs="Arial"/>
          <w:sz w:val="20"/>
          <w:szCs w:val="20"/>
        </w:rPr>
      </w:pPr>
      <w:r w:rsidRPr="002B3498">
        <w:rPr>
          <w:rFonts w:ascii="Arial" w:hAnsi="Arial" w:cs="Arial"/>
          <w:sz w:val="20"/>
          <w:szCs w:val="20"/>
        </w:rPr>
        <w:t>Para la clasificación de los residuos generados en la ejecución del proyecto se dispondrá de contenedores especializados debidamente identificados.</w:t>
      </w:r>
    </w:p>
    <w:p w14:paraId="0B0B9F59" w14:textId="77777777" w:rsidR="002B3498" w:rsidRPr="002B3498" w:rsidRDefault="002B3498" w:rsidP="001562A4">
      <w:pPr>
        <w:pStyle w:val="Default"/>
        <w:numPr>
          <w:ilvl w:val="0"/>
          <w:numId w:val="4"/>
        </w:numPr>
        <w:spacing w:line="360" w:lineRule="auto"/>
        <w:ind w:left="714" w:hanging="357"/>
        <w:contextualSpacing/>
        <w:jc w:val="both"/>
        <w:rPr>
          <w:rFonts w:ascii="Arial" w:hAnsi="Arial" w:cs="Arial"/>
          <w:sz w:val="20"/>
          <w:szCs w:val="20"/>
        </w:rPr>
      </w:pPr>
      <w:r w:rsidRPr="002B3498">
        <w:rPr>
          <w:rFonts w:ascii="Arial" w:hAnsi="Arial" w:cs="Arial"/>
          <w:sz w:val="20"/>
          <w:szCs w:val="20"/>
        </w:rPr>
        <w:t>Se procederá a la separación en origen, en la medida de lo posible, de los residuos peligrosos contenidos en los residuos de construcción.</w:t>
      </w:r>
    </w:p>
    <w:p w14:paraId="57ECC0AB" w14:textId="77777777" w:rsidR="002B3498" w:rsidRPr="002B3498" w:rsidRDefault="002B3498" w:rsidP="001562A4">
      <w:pPr>
        <w:pStyle w:val="Prrafodelista"/>
        <w:widowControl/>
        <w:numPr>
          <w:ilvl w:val="0"/>
          <w:numId w:val="4"/>
        </w:numPr>
        <w:spacing w:line="360" w:lineRule="auto"/>
        <w:ind w:left="714" w:hanging="357"/>
        <w:contextualSpacing/>
        <w:rPr>
          <w:rFonts w:cs="Arial"/>
          <w:color w:val="000000"/>
          <w:sz w:val="20"/>
          <w:szCs w:val="20"/>
        </w:rPr>
      </w:pPr>
      <w:r w:rsidRPr="002B3498">
        <w:rPr>
          <w:rFonts w:cs="Arial"/>
          <w:color w:val="000000"/>
          <w:sz w:val="20"/>
          <w:szCs w:val="20"/>
        </w:rPr>
        <w:t xml:space="preserve">El etiquetado de contenedores o demás recipientes de contención se realizará mediante el Código LER del producto, así como con el nombre del mismo, para mayor entendimiento de todo el personal presente en la obra. </w:t>
      </w:r>
      <w:r w:rsidRPr="002B3498">
        <w:rPr>
          <w:rFonts w:cs="Arial"/>
          <w:sz w:val="20"/>
          <w:szCs w:val="20"/>
        </w:rPr>
        <w:t>Estas etiquetas tendrán el tamaño y disposición adecuados, de forma que sean visibles, inteligibles y duraderas frente al paso del tiempo y las agresiones de los agentes atmosféricos.</w:t>
      </w:r>
    </w:p>
    <w:p w14:paraId="30A847D3" w14:textId="77777777" w:rsidR="002B3498" w:rsidRPr="002B3498" w:rsidRDefault="002B3498" w:rsidP="001562A4">
      <w:pPr>
        <w:pStyle w:val="Prrafodelista"/>
        <w:widowControl/>
        <w:numPr>
          <w:ilvl w:val="0"/>
          <w:numId w:val="4"/>
        </w:numPr>
        <w:spacing w:line="360" w:lineRule="auto"/>
        <w:contextualSpacing/>
        <w:rPr>
          <w:rFonts w:cs="Arial"/>
          <w:color w:val="000000"/>
          <w:sz w:val="20"/>
          <w:szCs w:val="20"/>
        </w:rPr>
      </w:pPr>
      <w:r w:rsidRPr="002B3498">
        <w:rPr>
          <w:rFonts w:cs="Arial"/>
          <w:color w:val="000000"/>
          <w:sz w:val="20"/>
          <w:szCs w:val="20"/>
        </w:rPr>
        <w:t xml:space="preserve">Los residuos peligrosos deberán almacenarse de forma controlada, para ello se establecerá un área bien delimitada, de fácil acceso, adecuadamente señalizada, sobre un terreno impermeabilizado y de manera que se garantice la estanqueidad de posibles efluentes generados por el lavado por la lluvia. Esta estanqueidad puede ser proporcionada por un sistema eficaz de cierre de los bidones o envases, en cuyo interior se depositen los residuos, y situando éstos bajo cubierta, protegidos de la lluvia. Cuando se sitúen en el exterior, a la intemperie, además del cierre, se realizará un reborde perimetral en la solera, </w:t>
      </w:r>
      <w:r w:rsidRPr="002B3498">
        <w:rPr>
          <w:rFonts w:cs="Arial"/>
          <w:color w:val="000000"/>
          <w:sz w:val="20"/>
          <w:szCs w:val="20"/>
        </w:rPr>
        <w:lastRenderedPageBreak/>
        <w:t>o bien se dotará a ésta de una cierta pendiente que canalice los efluentes o pequeñas fugas hacia un pozo de recogida.</w:t>
      </w:r>
    </w:p>
    <w:p w14:paraId="42D82C1D" w14:textId="77777777" w:rsidR="002B3498" w:rsidRPr="002B3498" w:rsidRDefault="002B3498" w:rsidP="001562A4">
      <w:pPr>
        <w:pStyle w:val="Prrafodelista"/>
        <w:widowControl/>
        <w:numPr>
          <w:ilvl w:val="0"/>
          <w:numId w:val="4"/>
        </w:numPr>
        <w:spacing w:line="360" w:lineRule="auto"/>
        <w:contextualSpacing/>
        <w:rPr>
          <w:rFonts w:cs="Arial"/>
          <w:color w:val="000000"/>
          <w:sz w:val="20"/>
          <w:szCs w:val="20"/>
        </w:rPr>
      </w:pPr>
      <w:r w:rsidRPr="002B3498">
        <w:rPr>
          <w:rFonts w:cs="Arial"/>
          <w:color w:val="000000"/>
          <w:sz w:val="20"/>
          <w:szCs w:val="20"/>
        </w:rPr>
        <w:t>Los envases o recipientes donde se almacenen dichos residuos peligrosos, presentarán pictogramas identificativos según las características de peligrosidad. Dichas características vienen recogidas en el Anexo I de la Ley 7/2022:</w:t>
      </w:r>
    </w:p>
    <w:p w14:paraId="7A2132CB" w14:textId="77777777" w:rsidR="002B3498" w:rsidRPr="002B3498" w:rsidRDefault="002B3498" w:rsidP="002B3498">
      <w:pPr>
        <w:spacing w:line="360" w:lineRule="auto"/>
        <w:rPr>
          <w:rFonts w:cs="Arial"/>
          <w:color w:val="000000"/>
          <w:sz w:val="20"/>
          <w:szCs w:val="20"/>
        </w:rPr>
      </w:pPr>
    </w:p>
    <w:tbl>
      <w:tblPr>
        <w:tblStyle w:val="Tablaconcuadrcula"/>
        <w:tblW w:w="0" w:type="auto"/>
        <w:jc w:val="center"/>
        <w:tblLook w:val="04A0" w:firstRow="1" w:lastRow="0" w:firstColumn="1" w:lastColumn="0" w:noHBand="0" w:noVBand="1"/>
      </w:tblPr>
      <w:tblGrid>
        <w:gridCol w:w="2234"/>
        <w:gridCol w:w="5666"/>
        <w:gridCol w:w="2012"/>
      </w:tblGrid>
      <w:tr w:rsidR="002B3498" w:rsidRPr="002B3498" w14:paraId="206BD7BD" w14:textId="77777777" w:rsidTr="00325503">
        <w:trPr>
          <w:jc w:val="center"/>
        </w:trPr>
        <w:tc>
          <w:tcPr>
            <w:tcW w:w="2234" w:type="dxa"/>
            <w:shd w:val="pct15" w:color="auto" w:fill="auto"/>
            <w:vAlign w:val="center"/>
          </w:tcPr>
          <w:p w14:paraId="66A682EA" w14:textId="77777777" w:rsidR="002B3498" w:rsidRPr="002B3498" w:rsidRDefault="002B3498" w:rsidP="005D551C">
            <w:pPr>
              <w:jc w:val="center"/>
              <w:rPr>
                <w:rFonts w:cs="Arial"/>
                <w:b/>
                <w:color w:val="000000"/>
                <w:sz w:val="20"/>
                <w:szCs w:val="20"/>
              </w:rPr>
            </w:pPr>
            <w:r w:rsidRPr="002B3498">
              <w:rPr>
                <w:rFonts w:cs="Arial"/>
                <w:b/>
                <w:color w:val="000000"/>
                <w:sz w:val="20"/>
                <w:szCs w:val="20"/>
              </w:rPr>
              <w:t>CARACTERÍSTICA PELIGROSIDAD</w:t>
            </w:r>
          </w:p>
        </w:tc>
        <w:tc>
          <w:tcPr>
            <w:tcW w:w="5666" w:type="dxa"/>
            <w:shd w:val="pct15" w:color="auto" w:fill="auto"/>
            <w:vAlign w:val="center"/>
          </w:tcPr>
          <w:p w14:paraId="1CF93DE0" w14:textId="77777777" w:rsidR="002B3498" w:rsidRPr="002B3498" w:rsidRDefault="002B3498" w:rsidP="005D551C">
            <w:pPr>
              <w:jc w:val="center"/>
              <w:rPr>
                <w:rFonts w:cs="Arial"/>
                <w:b/>
                <w:color w:val="000000"/>
                <w:sz w:val="20"/>
                <w:szCs w:val="20"/>
              </w:rPr>
            </w:pPr>
            <w:r w:rsidRPr="002B3498">
              <w:rPr>
                <w:rFonts w:cs="Arial"/>
                <w:b/>
                <w:color w:val="000000"/>
                <w:sz w:val="20"/>
                <w:szCs w:val="20"/>
              </w:rPr>
              <w:t>DEFINICIÓN</w:t>
            </w:r>
          </w:p>
        </w:tc>
        <w:tc>
          <w:tcPr>
            <w:tcW w:w="2012" w:type="dxa"/>
            <w:shd w:val="pct15" w:color="auto" w:fill="auto"/>
            <w:vAlign w:val="center"/>
          </w:tcPr>
          <w:p w14:paraId="20C77F50" w14:textId="77777777" w:rsidR="002B3498" w:rsidRPr="002B3498" w:rsidRDefault="002B3498" w:rsidP="005D551C">
            <w:pPr>
              <w:jc w:val="center"/>
              <w:rPr>
                <w:rFonts w:cs="Arial"/>
                <w:b/>
                <w:color w:val="000000"/>
                <w:sz w:val="20"/>
                <w:szCs w:val="20"/>
              </w:rPr>
            </w:pPr>
            <w:r w:rsidRPr="002B3498">
              <w:rPr>
                <w:rFonts w:cs="Arial"/>
                <w:b/>
                <w:color w:val="000000"/>
                <w:sz w:val="20"/>
                <w:szCs w:val="20"/>
              </w:rPr>
              <w:t>PICTOGRAMA(S) ASOCIADO(S)</w:t>
            </w:r>
          </w:p>
        </w:tc>
      </w:tr>
      <w:tr w:rsidR="002B3498" w:rsidRPr="002B3498" w14:paraId="13E7A507" w14:textId="77777777" w:rsidTr="00325503">
        <w:trPr>
          <w:jc w:val="center"/>
        </w:trPr>
        <w:tc>
          <w:tcPr>
            <w:tcW w:w="2234" w:type="dxa"/>
            <w:vAlign w:val="center"/>
          </w:tcPr>
          <w:p w14:paraId="64401F8F" w14:textId="77777777" w:rsidR="002B3498" w:rsidRPr="002B3498" w:rsidRDefault="002B3498" w:rsidP="005D551C">
            <w:pPr>
              <w:rPr>
                <w:rFonts w:cs="Arial"/>
                <w:b/>
                <w:color w:val="000000"/>
                <w:sz w:val="20"/>
                <w:szCs w:val="20"/>
              </w:rPr>
            </w:pPr>
            <w:r w:rsidRPr="002B3498">
              <w:rPr>
                <w:rFonts w:cs="Arial"/>
                <w:b/>
                <w:color w:val="000000"/>
                <w:sz w:val="20"/>
                <w:szCs w:val="20"/>
              </w:rPr>
              <w:t>HP 1 Explosivo</w:t>
            </w:r>
          </w:p>
        </w:tc>
        <w:tc>
          <w:tcPr>
            <w:tcW w:w="5666" w:type="dxa"/>
            <w:vAlign w:val="center"/>
          </w:tcPr>
          <w:p w14:paraId="0B07B01B" w14:textId="77777777" w:rsidR="002B3498" w:rsidRPr="002B3498" w:rsidRDefault="002B3498" w:rsidP="005D551C">
            <w:pPr>
              <w:rPr>
                <w:rFonts w:cs="Arial"/>
                <w:color w:val="000000"/>
                <w:sz w:val="20"/>
                <w:szCs w:val="20"/>
              </w:rPr>
            </w:pPr>
            <w:r w:rsidRPr="002B3498">
              <w:rPr>
                <w:rFonts w:cs="Arial"/>
                <w:color w:val="000000"/>
                <w:sz w:val="20"/>
                <w:szCs w:val="20"/>
              </w:rPr>
              <w:t xml:space="preserve">Residuos que, por reacción química, pueden desprender gases a una temperatura, presión y velocidad tales que pueden ocasionar daños a su entorno. Se incluyen los residuos pirotécnicos, los residuos de peróxidos orgánicos explosivos y los residuos </w:t>
            </w:r>
            <w:proofErr w:type="spellStart"/>
            <w:r w:rsidRPr="002B3498">
              <w:rPr>
                <w:rFonts w:cs="Arial"/>
                <w:color w:val="000000"/>
                <w:sz w:val="20"/>
                <w:szCs w:val="20"/>
              </w:rPr>
              <w:t>autorreactivos</w:t>
            </w:r>
            <w:proofErr w:type="spellEnd"/>
            <w:r w:rsidRPr="002B3498">
              <w:rPr>
                <w:rFonts w:cs="Arial"/>
                <w:color w:val="000000"/>
                <w:sz w:val="20"/>
                <w:szCs w:val="20"/>
              </w:rPr>
              <w:t xml:space="preserve"> explosivos.</w:t>
            </w:r>
          </w:p>
        </w:tc>
        <w:tc>
          <w:tcPr>
            <w:tcW w:w="2012" w:type="dxa"/>
            <w:vAlign w:val="center"/>
          </w:tcPr>
          <w:p w14:paraId="40FBB8A7"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7AED0DDC" wp14:editId="7339AF9F">
                  <wp:extent cx="1084827" cy="1080000"/>
                  <wp:effectExtent l="0" t="0" r="1270" b="6350"/>
                  <wp:docPr id="2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4827" cy="1080000"/>
                          </a:xfrm>
                          <a:prstGeom prst="rect">
                            <a:avLst/>
                          </a:prstGeom>
                          <a:noFill/>
                        </pic:spPr>
                      </pic:pic>
                    </a:graphicData>
                  </a:graphic>
                </wp:inline>
              </w:drawing>
            </w:r>
          </w:p>
        </w:tc>
      </w:tr>
      <w:tr w:rsidR="002B3498" w:rsidRPr="002B3498" w14:paraId="61A382E4" w14:textId="77777777" w:rsidTr="00325503">
        <w:trPr>
          <w:jc w:val="center"/>
        </w:trPr>
        <w:tc>
          <w:tcPr>
            <w:tcW w:w="2234" w:type="dxa"/>
            <w:vAlign w:val="center"/>
          </w:tcPr>
          <w:p w14:paraId="38B2C686" w14:textId="77777777" w:rsidR="002B3498" w:rsidRPr="002B3498" w:rsidRDefault="002B3498" w:rsidP="005D551C">
            <w:pPr>
              <w:rPr>
                <w:rFonts w:cs="Arial"/>
                <w:b/>
                <w:color w:val="000000"/>
                <w:sz w:val="20"/>
                <w:szCs w:val="20"/>
              </w:rPr>
            </w:pPr>
            <w:r w:rsidRPr="002B3498">
              <w:rPr>
                <w:rFonts w:cs="Arial"/>
                <w:b/>
                <w:color w:val="000000"/>
                <w:sz w:val="20"/>
                <w:szCs w:val="20"/>
              </w:rPr>
              <w:t>HP 2 Comburente</w:t>
            </w:r>
          </w:p>
        </w:tc>
        <w:tc>
          <w:tcPr>
            <w:tcW w:w="5666" w:type="dxa"/>
            <w:vAlign w:val="center"/>
          </w:tcPr>
          <w:p w14:paraId="3D76D95F" w14:textId="77777777" w:rsidR="002B3498" w:rsidRPr="002B3498" w:rsidRDefault="002B3498" w:rsidP="005D551C">
            <w:pPr>
              <w:rPr>
                <w:rFonts w:cs="Arial"/>
                <w:color w:val="000000"/>
                <w:sz w:val="20"/>
                <w:szCs w:val="20"/>
              </w:rPr>
            </w:pPr>
            <w:r w:rsidRPr="002B3498">
              <w:rPr>
                <w:rFonts w:cs="Arial"/>
                <w:color w:val="000000"/>
                <w:sz w:val="20"/>
                <w:szCs w:val="20"/>
              </w:rPr>
              <w:t>Residuos que, generalmente liberando oxígeno, pueden provocar o facilitar la combustión de otras sustancias.</w:t>
            </w:r>
          </w:p>
        </w:tc>
        <w:tc>
          <w:tcPr>
            <w:tcW w:w="2012" w:type="dxa"/>
            <w:vAlign w:val="center"/>
          </w:tcPr>
          <w:p w14:paraId="137DF16C"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07136CF6" wp14:editId="0F47D922">
                  <wp:extent cx="1080000" cy="1080000"/>
                  <wp:effectExtent l="0" t="0" r="6350" b="6350"/>
                  <wp:docPr id="2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pic:spPr>
                      </pic:pic>
                    </a:graphicData>
                  </a:graphic>
                </wp:inline>
              </w:drawing>
            </w:r>
          </w:p>
        </w:tc>
      </w:tr>
      <w:tr w:rsidR="002B3498" w:rsidRPr="002B3498" w14:paraId="2D1EE035" w14:textId="77777777" w:rsidTr="00325503">
        <w:trPr>
          <w:jc w:val="center"/>
        </w:trPr>
        <w:tc>
          <w:tcPr>
            <w:tcW w:w="2234" w:type="dxa"/>
            <w:vAlign w:val="center"/>
          </w:tcPr>
          <w:p w14:paraId="58E149AE" w14:textId="77777777" w:rsidR="002B3498" w:rsidRPr="002B3498" w:rsidRDefault="002B3498" w:rsidP="005D551C">
            <w:pPr>
              <w:rPr>
                <w:rFonts w:cs="Arial"/>
                <w:b/>
                <w:color w:val="000000"/>
                <w:sz w:val="20"/>
                <w:szCs w:val="20"/>
              </w:rPr>
            </w:pPr>
            <w:r w:rsidRPr="002B3498">
              <w:rPr>
                <w:rFonts w:cs="Arial"/>
                <w:b/>
                <w:color w:val="000000"/>
                <w:sz w:val="20"/>
                <w:szCs w:val="20"/>
              </w:rPr>
              <w:t>HP 3 Inflamable</w:t>
            </w:r>
          </w:p>
        </w:tc>
        <w:tc>
          <w:tcPr>
            <w:tcW w:w="5666" w:type="dxa"/>
            <w:vAlign w:val="center"/>
          </w:tcPr>
          <w:p w14:paraId="55D484C8" w14:textId="77777777" w:rsidR="002B3498" w:rsidRPr="002B3498" w:rsidRDefault="002B3498" w:rsidP="005D551C">
            <w:pPr>
              <w:rPr>
                <w:rFonts w:cs="Arial"/>
                <w:color w:val="000000"/>
                <w:sz w:val="20"/>
                <w:szCs w:val="20"/>
              </w:rPr>
            </w:pPr>
            <w:r w:rsidRPr="002B3498">
              <w:rPr>
                <w:rFonts w:cs="Arial"/>
                <w:color w:val="000000"/>
                <w:sz w:val="20"/>
                <w:szCs w:val="20"/>
              </w:rPr>
              <w:t>Residuos que cumplen cualquiera de las siguientes definiciones:</w:t>
            </w:r>
          </w:p>
          <w:p w14:paraId="54F6CE10" w14:textId="77777777" w:rsidR="002B3498" w:rsidRPr="002B3498" w:rsidRDefault="002B3498" w:rsidP="005D551C">
            <w:pPr>
              <w:rPr>
                <w:rFonts w:cs="Arial"/>
                <w:color w:val="000000"/>
                <w:sz w:val="20"/>
                <w:szCs w:val="20"/>
              </w:rPr>
            </w:pPr>
            <w:r w:rsidRPr="002B3498">
              <w:rPr>
                <w:rFonts w:cs="Arial"/>
                <w:color w:val="000000"/>
                <w:sz w:val="20"/>
                <w:szCs w:val="20"/>
              </w:rPr>
              <w:t>1. Residuos líquidos inflamables: residuos líquidos con un punto de inflamación inferior a 60º C, o gasóleos, carburantes diésel y aceites ligeros para calefacción usados con un punto de inflamación entre &gt; 55ºC y ≤ 75ºC.</w:t>
            </w:r>
          </w:p>
          <w:p w14:paraId="1B4C1AC0" w14:textId="77777777" w:rsidR="002B3498" w:rsidRPr="002B3498" w:rsidRDefault="002B3498" w:rsidP="005D551C">
            <w:pPr>
              <w:rPr>
                <w:rFonts w:cs="Arial"/>
                <w:color w:val="000000"/>
                <w:sz w:val="20"/>
                <w:szCs w:val="20"/>
              </w:rPr>
            </w:pPr>
            <w:r w:rsidRPr="002B3498">
              <w:rPr>
                <w:rFonts w:cs="Arial"/>
                <w:color w:val="000000"/>
                <w:sz w:val="20"/>
                <w:szCs w:val="20"/>
              </w:rPr>
              <w:t>2. Residuos líquidos o sólidos pirofóricos inflamables: residuos líquidos o sólidos que, aun en pequeñas cantidades, pueden inflamarse al cabo de cinco minutos de entrar en contacto con el aire.</w:t>
            </w:r>
          </w:p>
          <w:p w14:paraId="51AAF08B" w14:textId="77777777" w:rsidR="002B3498" w:rsidRPr="002B3498" w:rsidRDefault="002B3498" w:rsidP="005D551C">
            <w:pPr>
              <w:rPr>
                <w:rFonts w:cs="Arial"/>
                <w:color w:val="000000"/>
                <w:sz w:val="20"/>
                <w:szCs w:val="20"/>
              </w:rPr>
            </w:pPr>
            <w:r w:rsidRPr="002B3498">
              <w:rPr>
                <w:rFonts w:cs="Arial"/>
                <w:color w:val="000000"/>
                <w:sz w:val="20"/>
                <w:szCs w:val="20"/>
              </w:rPr>
              <w:t>3. Residuos sólidos inflamables: residuos sólidos que se inflaman con facilidad o que pueden provocar fuego o contribuir a provocar fuego por fricción.</w:t>
            </w:r>
          </w:p>
          <w:p w14:paraId="25DAF890" w14:textId="77777777" w:rsidR="002B3498" w:rsidRPr="002B3498" w:rsidRDefault="002B3498" w:rsidP="005D551C">
            <w:pPr>
              <w:rPr>
                <w:rFonts w:cs="Arial"/>
                <w:color w:val="000000"/>
                <w:sz w:val="20"/>
                <w:szCs w:val="20"/>
              </w:rPr>
            </w:pPr>
            <w:r w:rsidRPr="002B3498">
              <w:rPr>
                <w:rFonts w:cs="Arial"/>
                <w:color w:val="000000"/>
                <w:sz w:val="20"/>
                <w:szCs w:val="20"/>
              </w:rPr>
              <w:t xml:space="preserve">4. Residuos gaseosos inflamables: residuos gaseosos que se inflaman con el aire a 20ºC y a una presión de referencia de 101,3 </w:t>
            </w:r>
            <w:proofErr w:type="spellStart"/>
            <w:r w:rsidRPr="002B3498">
              <w:rPr>
                <w:rFonts w:cs="Arial"/>
                <w:color w:val="000000"/>
                <w:sz w:val="20"/>
                <w:szCs w:val="20"/>
              </w:rPr>
              <w:t>kPa</w:t>
            </w:r>
            <w:proofErr w:type="spellEnd"/>
            <w:r w:rsidRPr="002B3498">
              <w:rPr>
                <w:rFonts w:cs="Arial"/>
                <w:color w:val="000000"/>
                <w:sz w:val="20"/>
                <w:szCs w:val="20"/>
              </w:rPr>
              <w:t>.</w:t>
            </w:r>
          </w:p>
          <w:p w14:paraId="5C7E6DA6" w14:textId="77777777" w:rsidR="002B3498" w:rsidRPr="002B3498" w:rsidRDefault="002B3498" w:rsidP="005D551C">
            <w:pPr>
              <w:rPr>
                <w:rFonts w:cs="Arial"/>
                <w:color w:val="000000"/>
                <w:sz w:val="20"/>
                <w:szCs w:val="20"/>
              </w:rPr>
            </w:pPr>
            <w:r w:rsidRPr="002B3498">
              <w:rPr>
                <w:rFonts w:cs="Arial"/>
                <w:color w:val="000000"/>
                <w:sz w:val="20"/>
                <w:szCs w:val="20"/>
              </w:rPr>
              <w:t>5. Residuos que reaccionan en contacto con el agua: residuos que, en contacto con el agua, desprenden gases inflamables en cantidades peligrosas.</w:t>
            </w:r>
          </w:p>
          <w:p w14:paraId="79416220" w14:textId="77777777" w:rsidR="002B3498" w:rsidRPr="002B3498" w:rsidRDefault="002B3498" w:rsidP="005D551C">
            <w:pPr>
              <w:rPr>
                <w:rFonts w:cs="Arial"/>
                <w:color w:val="000000"/>
                <w:sz w:val="20"/>
                <w:szCs w:val="20"/>
              </w:rPr>
            </w:pPr>
            <w:r w:rsidRPr="002B3498">
              <w:rPr>
                <w:rFonts w:cs="Arial"/>
                <w:color w:val="000000"/>
                <w:sz w:val="20"/>
                <w:szCs w:val="20"/>
              </w:rPr>
              <w:t xml:space="preserve">6. Otros residuos inflamables: aerosoles inflamables, residuos que experimentan calentamiento espontaneo inflamables, residuos de peróxidos orgánicos inflamables y residuos </w:t>
            </w:r>
            <w:proofErr w:type="spellStart"/>
            <w:r w:rsidRPr="002B3498">
              <w:rPr>
                <w:rFonts w:cs="Arial"/>
                <w:color w:val="000000"/>
                <w:sz w:val="20"/>
                <w:szCs w:val="20"/>
              </w:rPr>
              <w:t>autorreactivos</w:t>
            </w:r>
            <w:proofErr w:type="spellEnd"/>
            <w:r w:rsidRPr="002B3498">
              <w:rPr>
                <w:rFonts w:cs="Arial"/>
                <w:color w:val="000000"/>
                <w:sz w:val="20"/>
                <w:szCs w:val="20"/>
              </w:rPr>
              <w:t xml:space="preserve"> inflamables.</w:t>
            </w:r>
          </w:p>
        </w:tc>
        <w:tc>
          <w:tcPr>
            <w:tcW w:w="2012" w:type="dxa"/>
            <w:vAlign w:val="center"/>
          </w:tcPr>
          <w:p w14:paraId="5C5E6A3F"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5261B6EE" wp14:editId="09B3B08A">
                  <wp:extent cx="1080000" cy="1080000"/>
                  <wp:effectExtent l="0" t="0" r="6350" b="6350"/>
                  <wp:docPr id="3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pic:spPr>
                      </pic:pic>
                    </a:graphicData>
                  </a:graphic>
                </wp:inline>
              </w:drawing>
            </w:r>
          </w:p>
        </w:tc>
      </w:tr>
      <w:tr w:rsidR="002B3498" w:rsidRPr="002B3498" w14:paraId="298008E0" w14:textId="77777777" w:rsidTr="00325503">
        <w:trPr>
          <w:jc w:val="center"/>
        </w:trPr>
        <w:tc>
          <w:tcPr>
            <w:tcW w:w="2234" w:type="dxa"/>
            <w:vAlign w:val="center"/>
          </w:tcPr>
          <w:p w14:paraId="148C2B9F" w14:textId="77777777" w:rsidR="002B3498" w:rsidRPr="002B3498" w:rsidRDefault="002B3498" w:rsidP="005D551C">
            <w:pPr>
              <w:rPr>
                <w:rFonts w:cs="Arial"/>
                <w:b/>
                <w:color w:val="000000"/>
                <w:sz w:val="20"/>
                <w:szCs w:val="20"/>
              </w:rPr>
            </w:pPr>
            <w:r w:rsidRPr="002B3498">
              <w:rPr>
                <w:rFonts w:cs="Arial"/>
                <w:b/>
                <w:color w:val="000000"/>
                <w:sz w:val="20"/>
                <w:szCs w:val="20"/>
              </w:rPr>
              <w:t>HP 4 Irritante</w:t>
            </w:r>
          </w:p>
        </w:tc>
        <w:tc>
          <w:tcPr>
            <w:tcW w:w="5666" w:type="dxa"/>
            <w:vAlign w:val="center"/>
          </w:tcPr>
          <w:p w14:paraId="6072287C" w14:textId="77777777" w:rsidR="002B3498" w:rsidRPr="002B3498" w:rsidRDefault="002B3498" w:rsidP="005D551C">
            <w:pPr>
              <w:rPr>
                <w:rFonts w:cs="Arial"/>
                <w:color w:val="000000"/>
                <w:sz w:val="20"/>
                <w:szCs w:val="20"/>
              </w:rPr>
            </w:pPr>
            <w:r w:rsidRPr="002B3498">
              <w:rPr>
                <w:rFonts w:cs="Arial"/>
                <w:color w:val="000000"/>
                <w:sz w:val="20"/>
                <w:szCs w:val="20"/>
              </w:rPr>
              <w:t>Residuos que, cuando se aplican, pueden provocar irritaciones cutáneas o lesiones oculares.</w:t>
            </w:r>
          </w:p>
        </w:tc>
        <w:tc>
          <w:tcPr>
            <w:tcW w:w="2012" w:type="dxa"/>
            <w:vAlign w:val="center"/>
          </w:tcPr>
          <w:p w14:paraId="1687FFF4"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4D885D12" wp14:editId="03676B90">
                  <wp:extent cx="1075235" cy="1080000"/>
                  <wp:effectExtent l="0" t="0" r="0" b="6350"/>
                  <wp:docPr id="3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5235" cy="1080000"/>
                          </a:xfrm>
                          <a:prstGeom prst="rect">
                            <a:avLst/>
                          </a:prstGeom>
                          <a:noFill/>
                        </pic:spPr>
                      </pic:pic>
                    </a:graphicData>
                  </a:graphic>
                </wp:inline>
              </w:drawing>
            </w:r>
          </w:p>
          <w:p w14:paraId="7A73047C"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319615A2" wp14:editId="65C8A2AB">
                  <wp:extent cx="1075725" cy="1080000"/>
                  <wp:effectExtent l="0" t="0" r="0" b="6350"/>
                  <wp:docPr id="3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75725" cy="1080000"/>
                          </a:xfrm>
                          <a:prstGeom prst="rect">
                            <a:avLst/>
                          </a:prstGeom>
                          <a:noFill/>
                        </pic:spPr>
                      </pic:pic>
                    </a:graphicData>
                  </a:graphic>
                </wp:inline>
              </w:drawing>
            </w:r>
          </w:p>
        </w:tc>
      </w:tr>
      <w:tr w:rsidR="002B3498" w:rsidRPr="002B3498" w14:paraId="2B06C25E" w14:textId="77777777" w:rsidTr="00325503">
        <w:trPr>
          <w:jc w:val="center"/>
        </w:trPr>
        <w:tc>
          <w:tcPr>
            <w:tcW w:w="2234" w:type="dxa"/>
            <w:vAlign w:val="center"/>
          </w:tcPr>
          <w:p w14:paraId="26C31E6E" w14:textId="77777777" w:rsidR="002B3498" w:rsidRPr="002B3498" w:rsidRDefault="002B3498" w:rsidP="005D551C">
            <w:pPr>
              <w:rPr>
                <w:rFonts w:cs="Arial"/>
                <w:b/>
                <w:color w:val="000000"/>
                <w:sz w:val="20"/>
                <w:szCs w:val="20"/>
              </w:rPr>
            </w:pPr>
            <w:r w:rsidRPr="002B3498">
              <w:rPr>
                <w:rFonts w:cs="Arial"/>
                <w:b/>
                <w:color w:val="000000"/>
                <w:sz w:val="20"/>
                <w:szCs w:val="20"/>
              </w:rPr>
              <w:t>HP 5 Toxicidad específica en determinados órganos</w:t>
            </w:r>
          </w:p>
        </w:tc>
        <w:tc>
          <w:tcPr>
            <w:tcW w:w="5666" w:type="dxa"/>
            <w:vAlign w:val="center"/>
          </w:tcPr>
          <w:p w14:paraId="26731FA1" w14:textId="77777777" w:rsidR="002B3498" w:rsidRPr="002B3498" w:rsidRDefault="002B3498" w:rsidP="005D551C">
            <w:pPr>
              <w:rPr>
                <w:rFonts w:cs="Arial"/>
                <w:color w:val="000000"/>
                <w:sz w:val="20"/>
                <w:szCs w:val="20"/>
              </w:rPr>
            </w:pPr>
            <w:r w:rsidRPr="002B3498">
              <w:rPr>
                <w:rFonts w:cs="Arial"/>
                <w:color w:val="000000"/>
                <w:sz w:val="20"/>
                <w:szCs w:val="20"/>
              </w:rPr>
              <w:t>Residuos que pueden provocar una toxicidad específica en determinados órganos, bien por una exposición única bien por exposiciones repetidas, o que pueden provocar efectos tóxicos agudos por aspiración.</w:t>
            </w:r>
          </w:p>
        </w:tc>
        <w:tc>
          <w:tcPr>
            <w:tcW w:w="2012" w:type="dxa"/>
            <w:vAlign w:val="center"/>
          </w:tcPr>
          <w:p w14:paraId="299129C6"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5D156A83" wp14:editId="19A40F1D">
                  <wp:extent cx="1075235" cy="1080000"/>
                  <wp:effectExtent l="0" t="0" r="0" b="6350"/>
                  <wp:docPr id="3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75235" cy="1080000"/>
                          </a:xfrm>
                          <a:prstGeom prst="rect">
                            <a:avLst/>
                          </a:prstGeom>
                          <a:noFill/>
                        </pic:spPr>
                      </pic:pic>
                    </a:graphicData>
                  </a:graphic>
                </wp:inline>
              </w:drawing>
            </w:r>
          </w:p>
          <w:p w14:paraId="40FC52F1"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45E4981D" wp14:editId="6DAC5C6F">
                  <wp:extent cx="1066181" cy="1080000"/>
                  <wp:effectExtent l="0" t="0" r="635" b="6350"/>
                  <wp:docPr id="3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66181" cy="1080000"/>
                          </a:xfrm>
                          <a:prstGeom prst="rect">
                            <a:avLst/>
                          </a:prstGeom>
                          <a:noFill/>
                        </pic:spPr>
                      </pic:pic>
                    </a:graphicData>
                  </a:graphic>
                </wp:inline>
              </w:drawing>
            </w:r>
          </w:p>
        </w:tc>
      </w:tr>
      <w:tr w:rsidR="002B3498" w:rsidRPr="002B3498" w14:paraId="33E556E9" w14:textId="77777777" w:rsidTr="00325503">
        <w:trPr>
          <w:jc w:val="center"/>
        </w:trPr>
        <w:tc>
          <w:tcPr>
            <w:tcW w:w="2234" w:type="dxa"/>
            <w:vAlign w:val="center"/>
          </w:tcPr>
          <w:p w14:paraId="3D5B4952" w14:textId="77777777" w:rsidR="002B3498" w:rsidRPr="002B3498" w:rsidRDefault="002B3498" w:rsidP="005D551C">
            <w:pPr>
              <w:rPr>
                <w:rFonts w:cs="Arial"/>
                <w:b/>
                <w:color w:val="000000"/>
                <w:sz w:val="20"/>
                <w:szCs w:val="20"/>
              </w:rPr>
            </w:pPr>
            <w:r w:rsidRPr="002B3498">
              <w:rPr>
                <w:rFonts w:cs="Arial"/>
                <w:b/>
                <w:color w:val="000000"/>
                <w:sz w:val="20"/>
                <w:szCs w:val="20"/>
              </w:rPr>
              <w:t>HP 6 Toxicidad aguda</w:t>
            </w:r>
          </w:p>
        </w:tc>
        <w:tc>
          <w:tcPr>
            <w:tcW w:w="5666" w:type="dxa"/>
            <w:vAlign w:val="center"/>
          </w:tcPr>
          <w:p w14:paraId="721898F7" w14:textId="77777777" w:rsidR="002B3498" w:rsidRPr="002B3498" w:rsidRDefault="002B3498" w:rsidP="005D551C">
            <w:pPr>
              <w:rPr>
                <w:rFonts w:cs="Arial"/>
                <w:color w:val="000000"/>
                <w:sz w:val="20"/>
                <w:szCs w:val="20"/>
              </w:rPr>
            </w:pPr>
            <w:r w:rsidRPr="002B3498">
              <w:rPr>
                <w:rFonts w:cs="Arial"/>
                <w:color w:val="000000"/>
                <w:sz w:val="20"/>
                <w:szCs w:val="20"/>
              </w:rPr>
              <w:t>Residuos que pueden provocar efectos tóxicos agudos tras la administración por vía oral o cutánea o como consecuencia de una exposición por inhalación.</w:t>
            </w:r>
          </w:p>
        </w:tc>
        <w:tc>
          <w:tcPr>
            <w:tcW w:w="2012" w:type="dxa"/>
            <w:vAlign w:val="center"/>
          </w:tcPr>
          <w:p w14:paraId="34B13531"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08630E9B" wp14:editId="5B340296">
                  <wp:extent cx="1070946" cy="1080000"/>
                  <wp:effectExtent l="0" t="0" r="0" b="6350"/>
                  <wp:docPr id="3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70946" cy="1080000"/>
                          </a:xfrm>
                          <a:prstGeom prst="rect">
                            <a:avLst/>
                          </a:prstGeom>
                          <a:noFill/>
                        </pic:spPr>
                      </pic:pic>
                    </a:graphicData>
                  </a:graphic>
                </wp:inline>
              </w:drawing>
            </w:r>
          </w:p>
          <w:p w14:paraId="0D525D37"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755409C2" wp14:editId="34074C71">
                  <wp:extent cx="1066181" cy="1080000"/>
                  <wp:effectExtent l="0" t="0" r="635" b="6350"/>
                  <wp:docPr id="3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66181" cy="1080000"/>
                          </a:xfrm>
                          <a:prstGeom prst="rect">
                            <a:avLst/>
                          </a:prstGeom>
                          <a:noFill/>
                        </pic:spPr>
                      </pic:pic>
                    </a:graphicData>
                  </a:graphic>
                </wp:inline>
              </w:drawing>
            </w:r>
          </w:p>
          <w:p w14:paraId="2BCEB43D" w14:textId="77777777" w:rsidR="002B3498" w:rsidRPr="002B3498" w:rsidRDefault="002B3498" w:rsidP="005D551C">
            <w:pPr>
              <w:rPr>
                <w:rFonts w:cs="Arial"/>
                <w:color w:val="000000"/>
                <w:sz w:val="20"/>
                <w:szCs w:val="20"/>
              </w:rPr>
            </w:pPr>
          </w:p>
        </w:tc>
      </w:tr>
      <w:tr w:rsidR="002B3498" w:rsidRPr="002B3498" w14:paraId="340ADC79" w14:textId="77777777" w:rsidTr="00325503">
        <w:trPr>
          <w:jc w:val="center"/>
        </w:trPr>
        <w:tc>
          <w:tcPr>
            <w:tcW w:w="2234" w:type="dxa"/>
            <w:vAlign w:val="center"/>
          </w:tcPr>
          <w:p w14:paraId="0043FED1" w14:textId="77777777" w:rsidR="002B3498" w:rsidRPr="002B3498" w:rsidRDefault="002B3498" w:rsidP="005D551C">
            <w:pPr>
              <w:rPr>
                <w:rFonts w:cs="Arial"/>
                <w:b/>
                <w:color w:val="000000"/>
                <w:sz w:val="20"/>
                <w:szCs w:val="20"/>
              </w:rPr>
            </w:pPr>
            <w:r w:rsidRPr="002B3498">
              <w:rPr>
                <w:rFonts w:cs="Arial"/>
                <w:b/>
                <w:color w:val="000000"/>
                <w:sz w:val="20"/>
                <w:szCs w:val="20"/>
              </w:rPr>
              <w:t>HP 7 Cancerígeno</w:t>
            </w:r>
          </w:p>
        </w:tc>
        <w:tc>
          <w:tcPr>
            <w:tcW w:w="5666" w:type="dxa"/>
            <w:vAlign w:val="center"/>
          </w:tcPr>
          <w:p w14:paraId="4B93470E" w14:textId="77777777" w:rsidR="002B3498" w:rsidRPr="002B3498" w:rsidRDefault="002B3498" w:rsidP="005D551C">
            <w:pPr>
              <w:rPr>
                <w:rFonts w:cs="Arial"/>
                <w:color w:val="000000"/>
                <w:sz w:val="20"/>
                <w:szCs w:val="20"/>
              </w:rPr>
            </w:pPr>
            <w:r w:rsidRPr="002B3498">
              <w:rPr>
                <w:rFonts w:cs="Arial"/>
                <w:sz w:val="20"/>
                <w:szCs w:val="20"/>
              </w:rPr>
              <w:t>Residuos que inducen cáncer o aumentan su incidencia.</w:t>
            </w:r>
          </w:p>
        </w:tc>
        <w:tc>
          <w:tcPr>
            <w:tcW w:w="2012" w:type="dxa"/>
            <w:vAlign w:val="center"/>
          </w:tcPr>
          <w:p w14:paraId="6C19C797"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170C535C" wp14:editId="4EE6AEC3">
                  <wp:extent cx="1075235" cy="1080000"/>
                  <wp:effectExtent l="0" t="0" r="0" b="6350"/>
                  <wp:docPr id="3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75235" cy="1080000"/>
                          </a:xfrm>
                          <a:prstGeom prst="rect">
                            <a:avLst/>
                          </a:prstGeom>
                          <a:noFill/>
                        </pic:spPr>
                      </pic:pic>
                    </a:graphicData>
                  </a:graphic>
                </wp:inline>
              </w:drawing>
            </w:r>
          </w:p>
        </w:tc>
      </w:tr>
      <w:tr w:rsidR="002B3498" w:rsidRPr="002B3498" w14:paraId="14366366" w14:textId="77777777" w:rsidTr="00325503">
        <w:trPr>
          <w:jc w:val="center"/>
        </w:trPr>
        <w:tc>
          <w:tcPr>
            <w:tcW w:w="2234" w:type="dxa"/>
            <w:vAlign w:val="center"/>
          </w:tcPr>
          <w:p w14:paraId="1FB8E819" w14:textId="77777777" w:rsidR="002B3498" w:rsidRPr="002B3498" w:rsidRDefault="002B3498" w:rsidP="005D551C">
            <w:pPr>
              <w:rPr>
                <w:rFonts w:cs="Arial"/>
                <w:b/>
                <w:color w:val="000000"/>
                <w:sz w:val="20"/>
                <w:szCs w:val="20"/>
              </w:rPr>
            </w:pPr>
            <w:r w:rsidRPr="002B3498">
              <w:rPr>
                <w:rFonts w:cs="Arial"/>
                <w:b/>
                <w:color w:val="000000"/>
                <w:sz w:val="20"/>
                <w:szCs w:val="20"/>
              </w:rPr>
              <w:lastRenderedPageBreak/>
              <w:t>HP 8 Corrosivo</w:t>
            </w:r>
          </w:p>
        </w:tc>
        <w:tc>
          <w:tcPr>
            <w:tcW w:w="5666" w:type="dxa"/>
            <w:vAlign w:val="center"/>
          </w:tcPr>
          <w:p w14:paraId="13ACCE44" w14:textId="77777777" w:rsidR="002B3498" w:rsidRPr="002B3498" w:rsidRDefault="002B3498" w:rsidP="005D551C">
            <w:pPr>
              <w:rPr>
                <w:rFonts w:cs="Arial"/>
                <w:color w:val="000000"/>
                <w:sz w:val="20"/>
                <w:szCs w:val="20"/>
              </w:rPr>
            </w:pPr>
            <w:r w:rsidRPr="002B3498">
              <w:rPr>
                <w:rFonts w:cs="Arial"/>
                <w:color w:val="000000"/>
                <w:sz w:val="20"/>
                <w:szCs w:val="20"/>
              </w:rPr>
              <w:t>Residuos que, cuando se aplican, pueden provocar corrosión cutánea.</w:t>
            </w:r>
          </w:p>
        </w:tc>
        <w:tc>
          <w:tcPr>
            <w:tcW w:w="2012" w:type="dxa"/>
            <w:vAlign w:val="center"/>
          </w:tcPr>
          <w:p w14:paraId="6771CF9B"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02CB4D7A" wp14:editId="4C68049B">
                  <wp:extent cx="1075235" cy="1080000"/>
                  <wp:effectExtent l="0" t="0" r="0" b="6350"/>
                  <wp:docPr id="38"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5235" cy="1080000"/>
                          </a:xfrm>
                          <a:prstGeom prst="rect">
                            <a:avLst/>
                          </a:prstGeom>
                          <a:noFill/>
                        </pic:spPr>
                      </pic:pic>
                    </a:graphicData>
                  </a:graphic>
                </wp:inline>
              </w:drawing>
            </w:r>
          </w:p>
        </w:tc>
      </w:tr>
      <w:tr w:rsidR="002B3498" w:rsidRPr="002B3498" w14:paraId="41E1D8D6" w14:textId="77777777" w:rsidTr="00325503">
        <w:trPr>
          <w:jc w:val="center"/>
        </w:trPr>
        <w:tc>
          <w:tcPr>
            <w:tcW w:w="2234" w:type="dxa"/>
            <w:vAlign w:val="center"/>
          </w:tcPr>
          <w:p w14:paraId="058FFDB9" w14:textId="77777777" w:rsidR="002B3498" w:rsidRPr="002B3498" w:rsidRDefault="002B3498" w:rsidP="005D551C">
            <w:pPr>
              <w:rPr>
                <w:rFonts w:cs="Arial"/>
                <w:b/>
                <w:color w:val="000000"/>
                <w:sz w:val="20"/>
                <w:szCs w:val="20"/>
              </w:rPr>
            </w:pPr>
            <w:r w:rsidRPr="002B3498">
              <w:rPr>
                <w:rFonts w:cs="Arial"/>
                <w:b/>
                <w:color w:val="000000"/>
                <w:sz w:val="20"/>
                <w:szCs w:val="20"/>
              </w:rPr>
              <w:t>HP 9 Infeccioso</w:t>
            </w:r>
          </w:p>
        </w:tc>
        <w:tc>
          <w:tcPr>
            <w:tcW w:w="5666" w:type="dxa"/>
            <w:vAlign w:val="center"/>
          </w:tcPr>
          <w:p w14:paraId="0005687E" w14:textId="77777777" w:rsidR="002B3498" w:rsidRPr="002B3498" w:rsidRDefault="002B3498" w:rsidP="005D551C">
            <w:pPr>
              <w:rPr>
                <w:rFonts w:cs="Arial"/>
                <w:sz w:val="20"/>
                <w:szCs w:val="20"/>
              </w:rPr>
            </w:pPr>
            <w:r w:rsidRPr="002B3498">
              <w:rPr>
                <w:rFonts w:cs="Arial"/>
                <w:sz w:val="20"/>
                <w:szCs w:val="20"/>
              </w:rPr>
              <w:t>Residuos que contienen microorganismos viables, o sus toxinas, de los que se sabe o existen razones fundadas para creer que causan enfermedades en el ser humano o en otros organismos vivos.</w:t>
            </w:r>
          </w:p>
        </w:tc>
        <w:tc>
          <w:tcPr>
            <w:tcW w:w="2012" w:type="dxa"/>
            <w:vAlign w:val="center"/>
          </w:tcPr>
          <w:p w14:paraId="6A866BC8" w14:textId="77777777" w:rsidR="002B3498" w:rsidRPr="002B3498" w:rsidRDefault="002B3498" w:rsidP="005D551C">
            <w:pPr>
              <w:rPr>
                <w:rFonts w:cs="Arial"/>
                <w:color w:val="000000"/>
                <w:sz w:val="20"/>
                <w:szCs w:val="20"/>
                <w:vertAlign w:val="superscript"/>
              </w:rPr>
            </w:pPr>
            <w:r w:rsidRPr="002B3498">
              <w:rPr>
                <w:rFonts w:cs="Arial"/>
                <w:color w:val="000000"/>
                <w:sz w:val="20"/>
                <w:szCs w:val="20"/>
              </w:rPr>
              <w:t>No tiene pictogramas asociados en el Reglamento CLP</w:t>
            </w:r>
            <w:r w:rsidRPr="002B3498">
              <w:rPr>
                <w:rFonts w:cs="Arial"/>
                <w:color w:val="000000"/>
                <w:sz w:val="20"/>
                <w:szCs w:val="20"/>
                <w:vertAlign w:val="superscript"/>
              </w:rPr>
              <w:t>35</w:t>
            </w:r>
          </w:p>
        </w:tc>
      </w:tr>
      <w:tr w:rsidR="002B3498" w:rsidRPr="002B3498" w14:paraId="095FF29F" w14:textId="77777777" w:rsidTr="00325503">
        <w:trPr>
          <w:jc w:val="center"/>
        </w:trPr>
        <w:tc>
          <w:tcPr>
            <w:tcW w:w="2234" w:type="dxa"/>
            <w:vAlign w:val="center"/>
          </w:tcPr>
          <w:p w14:paraId="104850C7" w14:textId="77777777" w:rsidR="002B3498" w:rsidRPr="002B3498" w:rsidRDefault="002B3498" w:rsidP="005D551C">
            <w:pPr>
              <w:rPr>
                <w:rFonts w:cs="Arial"/>
                <w:b/>
                <w:color w:val="000000"/>
                <w:sz w:val="20"/>
                <w:szCs w:val="20"/>
              </w:rPr>
            </w:pPr>
            <w:r w:rsidRPr="002B3498">
              <w:rPr>
                <w:rFonts w:cs="Arial"/>
                <w:b/>
                <w:color w:val="000000"/>
                <w:sz w:val="20"/>
                <w:szCs w:val="20"/>
              </w:rPr>
              <w:t>HP 10 Tóxico para la reproducción</w:t>
            </w:r>
          </w:p>
        </w:tc>
        <w:tc>
          <w:tcPr>
            <w:tcW w:w="5666" w:type="dxa"/>
            <w:vAlign w:val="center"/>
          </w:tcPr>
          <w:p w14:paraId="414F9D43" w14:textId="77777777" w:rsidR="002B3498" w:rsidRPr="002B3498" w:rsidRDefault="002B3498" w:rsidP="005D551C">
            <w:pPr>
              <w:rPr>
                <w:rFonts w:cs="Arial"/>
                <w:color w:val="000000"/>
                <w:sz w:val="20"/>
                <w:szCs w:val="20"/>
              </w:rPr>
            </w:pPr>
            <w:r w:rsidRPr="002B3498">
              <w:rPr>
                <w:rFonts w:cs="Arial"/>
                <w:color w:val="000000"/>
                <w:sz w:val="20"/>
                <w:szCs w:val="20"/>
              </w:rPr>
              <w:t>Residuos que tienen efectos adversos sobre la función sexual y la fertilidad de hombres y mujeres adultos, así como sobre el desarrollo de los descendientes.</w:t>
            </w:r>
          </w:p>
        </w:tc>
        <w:tc>
          <w:tcPr>
            <w:tcW w:w="2012" w:type="dxa"/>
            <w:vAlign w:val="center"/>
          </w:tcPr>
          <w:p w14:paraId="2650EB4F"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4D858C7F" wp14:editId="176BBAFB">
                  <wp:extent cx="1075235" cy="1080000"/>
                  <wp:effectExtent l="0" t="0" r="0" b="6350"/>
                  <wp:docPr id="39"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75235" cy="1080000"/>
                          </a:xfrm>
                          <a:prstGeom prst="rect">
                            <a:avLst/>
                          </a:prstGeom>
                          <a:noFill/>
                        </pic:spPr>
                      </pic:pic>
                    </a:graphicData>
                  </a:graphic>
                </wp:inline>
              </w:drawing>
            </w:r>
          </w:p>
        </w:tc>
      </w:tr>
      <w:tr w:rsidR="002B3498" w:rsidRPr="002B3498" w14:paraId="15BCC7EF" w14:textId="77777777" w:rsidTr="00325503">
        <w:trPr>
          <w:jc w:val="center"/>
        </w:trPr>
        <w:tc>
          <w:tcPr>
            <w:tcW w:w="2234" w:type="dxa"/>
            <w:vAlign w:val="center"/>
          </w:tcPr>
          <w:p w14:paraId="40EB64BA" w14:textId="77777777" w:rsidR="002B3498" w:rsidRPr="002B3498" w:rsidRDefault="002B3498" w:rsidP="005D551C">
            <w:pPr>
              <w:rPr>
                <w:rFonts w:cs="Arial"/>
                <w:b/>
                <w:color w:val="000000"/>
                <w:sz w:val="20"/>
                <w:szCs w:val="20"/>
              </w:rPr>
            </w:pPr>
            <w:r w:rsidRPr="002B3498">
              <w:rPr>
                <w:rFonts w:cs="Arial"/>
                <w:b/>
                <w:color w:val="000000"/>
                <w:sz w:val="20"/>
                <w:szCs w:val="20"/>
              </w:rPr>
              <w:t xml:space="preserve">HP 11 </w:t>
            </w:r>
            <w:proofErr w:type="spellStart"/>
            <w:r w:rsidRPr="002B3498">
              <w:rPr>
                <w:rFonts w:cs="Arial"/>
                <w:b/>
                <w:color w:val="000000"/>
                <w:sz w:val="20"/>
                <w:szCs w:val="20"/>
              </w:rPr>
              <w:t>Mutágeno</w:t>
            </w:r>
            <w:proofErr w:type="spellEnd"/>
          </w:p>
        </w:tc>
        <w:tc>
          <w:tcPr>
            <w:tcW w:w="5666" w:type="dxa"/>
            <w:vAlign w:val="center"/>
          </w:tcPr>
          <w:p w14:paraId="2183F86E" w14:textId="77777777" w:rsidR="002B3498" w:rsidRPr="002B3498" w:rsidRDefault="002B3498" w:rsidP="005D551C">
            <w:pPr>
              <w:rPr>
                <w:rFonts w:cs="Arial"/>
                <w:sz w:val="20"/>
                <w:szCs w:val="20"/>
              </w:rPr>
            </w:pPr>
            <w:r w:rsidRPr="002B3498">
              <w:rPr>
                <w:rFonts w:cs="Arial"/>
                <w:sz w:val="20"/>
                <w:szCs w:val="20"/>
              </w:rPr>
              <w:t>Residuos que pueden provocar una mutación, es decir, un cambio permanente en la cantidad o en la estructura del material genético de una célula.</w:t>
            </w:r>
          </w:p>
        </w:tc>
        <w:tc>
          <w:tcPr>
            <w:tcW w:w="2012" w:type="dxa"/>
            <w:vAlign w:val="center"/>
          </w:tcPr>
          <w:p w14:paraId="5EDE6B07"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1AF0F6AB" wp14:editId="2933BC8A">
                  <wp:extent cx="1075235" cy="1080000"/>
                  <wp:effectExtent l="0" t="0" r="0" b="6350"/>
                  <wp:docPr id="4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75235" cy="1080000"/>
                          </a:xfrm>
                          <a:prstGeom prst="rect">
                            <a:avLst/>
                          </a:prstGeom>
                          <a:noFill/>
                        </pic:spPr>
                      </pic:pic>
                    </a:graphicData>
                  </a:graphic>
                </wp:inline>
              </w:drawing>
            </w:r>
          </w:p>
        </w:tc>
      </w:tr>
      <w:tr w:rsidR="002B3498" w:rsidRPr="002B3498" w14:paraId="41787C40" w14:textId="77777777" w:rsidTr="00325503">
        <w:trPr>
          <w:jc w:val="center"/>
        </w:trPr>
        <w:tc>
          <w:tcPr>
            <w:tcW w:w="2234" w:type="dxa"/>
            <w:vAlign w:val="center"/>
          </w:tcPr>
          <w:p w14:paraId="064ECDE1" w14:textId="77777777" w:rsidR="002B3498" w:rsidRPr="002B3498" w:rsidRDefault="002B3498" w:rsidP="005D551C">
            <w:pPr>
              <w:rPr>
                <w:rFonts w:cs="Arial"/>
                <w:b/>
                <w:color w:val="000000"/>
                <w:sz w:val="20"/>
                <w:szCs w:val="20"/>
              </w:rPr>
            </w:pPr>
            <w:r w:rsidRPr="002B3498">
              <w:rPr>
                <w:rFonts w:cs="Arial"/>
                <w:b/>
                <w:color w:val="000000"/>
                <w:sz w:val="20"/>
                <w:szCs w:val="20"/>
              </w:rPr>
              <w:t>HP 12 Liberación de un gas de toxicidad aguda</w:t>
            </w:r>
          </w:p>
        </w:tc>
        <w:tc>
          <w:tcPr>
            <w:tcW w:w="5666" w:type="dxa"/>
            <w:vAlign w:val="center"/>
          </w:tcPr>
          <w:p w14:paraId="183CF11B" w14:textId="77777777" w:rsidR="002B3498" w:rsidRPr="002B3498" w:rsidRDefault="002B3498" w:rsidP="005D551C">
            <w:pPr>
              <w:rPr>
                <w:rFonts w:cs="Arial"/>
                <w:sz w:val="20"/>
                <w:szCs w:val="20"/>
              </w:rPr>
            </w:pPr>
            <w:r w:rsidRPr="002B3498">
              <w:rPr>
                <w:rFonts w:cs="Arial"/>
                <w:sz w:val="20"/>
                <w:szCs w:val="20"/>
              </w:rPr>
              <w:t>Residuos que emiten gases de toxicidad aguda (</w:t>
            </w:r>
            <w:proofErr w:type="spellStart"/>
            <w:r w:rsidRPr="002B3498">
              <w:rPr>
                <w:rFonts w:cs="Arial"/>
                <w:sz w:val="20"/>
                <w:szCs w:val="20"/>
              </w:rPr>
              <w:t>AcuteTox</w:t>
            </w:r>
            <w:proofErr w:type="spellEnd"/>
            <w:r w:rsidRPr="002B3498">
              <w:rPr>
                <w:rFonts w:cs="Arial"/>
                <w:sz w:val="20"/>
                <w:szCs w:val="20"/>
              </w:rPr>
              <w:t xml:space="preserve">. 1, 2 </w:t>
            </w:r>
            <w:proofErr w:type="spellStart"/>
            <w:r w:rsidRPr="002B3498">
              <w:rPr>
                <w:rFonts w:cs="Arial"/>
                <w:sz w:val="20"/>
                <w:szCs w:val="20"/>
              </w:rPr>
              <w:t>ó</w:t>
            </w:r>
            <w:proofErr w:type="spellEnd"/>
            <w:r w:rsidRPr="002B3498">
              <w:rPr>
                <w:rFonts w:cs="Arial"/>
                <w:sz w:val="20"/>
                <w:szCs w:val="20"/>
              </w:rPr>
              <w:t xml:space="preserve"> 3) en contacto con agua o con un ácido.</w:t>
            </w:r>
          </w:p>
        </w:tc>
        <w:tc>
          <w:tcPr>
            <w:tcW w:w="2012" w:type="dxa"/>
            <w:vAlign w:val="center"/>
          </w:tcPr>
          <w:p w14:paraId="74FA4D68" w14:textId="77777777" w:rsidR="002B3498" w:rsidRPr="002B3498" w:rsidRDefault="002B3498" w:rsidP="005D551C">
            <w:pPr>
              <w:rPr>
                <w:rFonts w:cs="Arial"/>
                <w:color w:val="000000"/>
                <w:sz w:val="20"/>
                <w:szCs w:val="20"/>
              </w:rPr>
            </w:pPr>
            <w:r w:rsidRPr="002B3498">
              <w:rPr>
                <w:rFonts w:cs="Arial"/>
                <w:sz w:val="20"/>
                <w:szCs w:val="20"/>
              </w:rPr>
              <w:t>No tiene pictogramas asociados</w:t>
            </w:r>
          </w:p>
        </w:tc>
      </w:tr>
      <w:tr w:rsidR="002B3498" w:rsidRPr="002B3498" w14:paraId="0104E511" w14:textId="77777777" w:rsidTr="00325503">
        <w:trPr>
          <w:trHeight w:val="4481"/>
          <w:jc w:val="center"/>
        </w:trPr>
        <w:tc>
          <w:tcPr>
            <w:tcW w:w="2234" w:type="dxa"/>
            <w:vAlign w:val="center"/>
          </w:tcPr>
          <w:p w14:paraId="46438BA0" w14:textId="77777777" w:rsidR="002B3498" w:rsidRPr="002B3498" w:rsidRDefault="002B3498" w:rsidP="005D551C">
            <w:pPr>
              <w:rPr>
                <w:rFonts w:cs="Arial"/>
                <w:b/>
                <w:color w:val="000000"/>
                <w:sz w:val="20"/>
                <w:szCs w:val="20"/>
              </w:rPr>
            </w:pPr>
            <w:r w:rsidRPr="002B3498">
              <w:rPr>
                <w:rFonts w:cs="Arial"/>
                <w:b/>
                <w:color w:val="000000"/>
                <w:sz w:val="20"/>
                <w:szCs w:val="20"/>
              </w:rPr>
              <w:t xml:space="preserve">HP 13 </w:t>
            </w:r>
            <w:proofErr w:type="spellStart"/>
            <w:r w:rsidRPr="002B3498">
              <w:rPr>
                <w:rFonts w:cs="Arial"/>
                <w:b/>
                <w:color w:val="000000"/>
                <w:sz w:val="20"/>
                <w:szCs w:val="20"/>
              </w:rPr>
              <w:t>Sensibilizante</w:t>
            </w:r>
            <w:proofErr w:type="spellEnd"/>
          </w:p>
        </w:tc>
        <w:tc>
          <w:tcPr>
            <w:tcW w:w="5666" w:type="dxa"/>
            <w:vAlign w:val="center"/>
          </w:tcPr>
          <w:p w14:paraId="285053F1" w14:textId="77777777" w:rsidR="002B3498" w:rsidRPr="002B3498" w:rsidRDefault="002B3498" w:rsidP="005D551C">
            <w:pPr>
              <w:rPr>
                <w:rFonts w:cs="Arial"/>
                <w:sz w:val="20"/>
                <w:szCs w:val="20"/>
              </w:rPr>
            </w:pPr>
            <w:r w:rsidRPr="002B3498">
              <w:rPr>
                <w:rFonts w:cs="Arial"/>
                <w:sz w:val="20"/>
                <w:szCs w:val="20"/>
              </w:rPr>
              <w:t xml:space="preserve">Residuos que contienen una o varias sustancias que se sabe tienen efectos </w:t>
            </w:r>
            <w:proofErr w:type="spellStart"/>
            <w:r w:rsidRPr="002B3498">
              <w:rPr>
                <w:rFonts w:cs="Arial"/>
                <w:sz w:val="20"/>
                <w:szCs w:val="20"/>
              </w:rPr>
              <w:t>sensibilizantes</w:t>
            </w:r>
            <w:proofErr w:type="spellEnd"/>
            <w:r w:rsidRPr="002B3498">
              <w:rPr>
                <w:rFonts w:cs="Arial"/>
                <w:sz w:val="20"/>
                <w:szCs w:val="20"/>
              </w:rPr>
              <w:t xml:space="preserve"> para la piel o los órganos respiratorios.</w:t>
            </w:r>
          </w:p>
        </w:tc>
        <w:tc>
          <w:tcPr>
            <w:tcW w:w="2012" w:type="dxa"/>
            <w:vAlign w:val="center"/>
          </w:tcPr>
          <w:p w14:paraId="2CB0FDB9"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40D4B95F" wp14:editId="3BD8570A">
                  <wp:extent cx="1066181" cy="1080000"/>
                  <wp:effectExtent l="0" t="0" r="635" b="6350"/>
                  <wp:docPr id="4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66181" cy="1080000"/>
                          </a:xfrm>
                          <a:prstGeom prst="rect">
                            <a:avLst/>
                          </a:prstGeom>
                          <a:noFill/>
                        </pic:spPr>
                      </pic:pic>
                    </a:graphicData>
                  </a:graphic>
                </wp:inline>
              </w:drawing>
            </w:r>
          </w:p>
          <w:p w14:paraId="1D026C63"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758FF930" wp14:editId="2F57AF7C">
                  <wp:extent cx="1075235" cy="1080000"/>
                  <wp:effectExtent l="0" t="0" r="0" b="6350"/>
                  <wp:docPr id="4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75235" cy="1080000"/>
                          </a:xfrm>
                          <a:prstGeom prst="rect">
                            <a:avLst/>
                          </a:prstGeom>
                          <a:noFill/>
                        </pic:spPr>
                      </pic:pic>
                    </a:graphicData>
                  </a:graphic>
                </wp:inline>
              </w:drawing>
            </w:r>
          </w:p>
        </w:tc>
      </w:tr>
      <w:tr w:rsidR="002B3498" w:rsidRPr="002B3498" w14:paraId="2B5FF34A" w14:textId="77777777" w:rsidTr="00325503">
        <w:trPr>
          <w:jc w:val="center"/>
        </w:trPr>
        <w:tc>
          <w:tcPr>
            <w:tcW w:w="2234" w:type="dxa"/>
            <w:vAlign w:val="center"/>
          </w:tcPr>
          <w:p w14:paraId="33D45B26" w14:textId="77777777" w:rsidR="002B3498" w:rsidRPr="002B3498" w:rsidRDefault="002B3498" w:rsidP="005D551C">
            <w:pPr>
              <w:rPr>
                <w:rFonts w:cs="Arial"/>
                <w:b/>
                <w:color w:val="000000"/>
                <w:sz w:val="20"/>
                <w:szCs w:val="20"/>
              </w:rPr>
            </w:pPr>
            <w:r w:rsidRPr="002B3498">
              <w:rPr>
                <w:rFonts w:cs="Arial"/>
                <w:b/>
                <w:color w:val="000000"/>
                <w:sz w:val="20"/>
                <w:szCs w:val="20"/>
              </w:rPr>
              <w:t xml:space="preserve">HP 14 </w:t>
            </w:r>
            <w:proofErr w:type="spellStart"/>
            <w:r w:rsidRPr="002B3498">
              <w:rPr>
                <w:rFonts w:cs="Arial"/>
                <w:b/>
                <w:color w:val="000000"/>
                <w:sz w:val="20"/>
                <w:szCs w:val="20"/>
              </w:rPr>
              <w:t>Ecotóxico</w:t>
            </w:r>
            <w:proofErr w:type="spellEnd"/>
          </w:p>
        </w:tc>
        <w:tc>
          <w:tcPr>
            <w:tcW w:w="5666" w:type="dxa"/>
            <w:vAlign w:val="center"/>
          </w:tcPr>
          <w:p w14:paraId="74B98D74" w14:textId="77777777" w:rsidR="002B3498" w:rsidRPr="002B3498" w:rsidRDefault="002B3498" w:rsidP="005D551C">
            <w:pPr>
              <w:rPr>
                <w:rFonts w:cs="Arial"/>
                <w:sz w:val="20"/>
                <w:szCs w:val="20"/>
              </w:rPr>
            </w:pPr>
            <w:r w:rsidRPr="002B3498">
              <w:rPr>
                <w:rFonts w:cs="Arial"/>
                <w:sz w:val="20"/>
                <w:szCs w:val="20"/>
              </w:rPr>
              <w:t>Residuos que presentan o pueden presentar riesgos inmediatos o diferidos para uno o más compartimentos del medio ambiente.</w:t>
            </w:r>
          </w:p>
        </w:tc>
        <w:tc>
          <w:tcPr>
            <w:tcW w:w="2012" w:type="dxa"/>
            <w:vAlign w:val="center"/>
          </w:tcPr>
          <w:p w14:paraId="0D749FE1"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51F3E410" wp14:editId="1481269D">
                  <wp:extent cx="1080000" cy="1080000"/>
                  <wp:effectExtent l="0" t="0" r="6350" b="6350"/>
                  <wp:docPr id="43"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pic:spPr>
                      </pic:pic>
                    </a:graphicData>
                  </a:graphic>
                </wp:inline>
              </w:drawing>
            </w:r>
          </w:p>
          <w:p w14:paraId="4E2638DA" w14:textId="77777777" w:rsidR="002B3498" w:rsidRPr="002B3498" w:rsidRDefault="002B3498" w:rsidP="005D551C">
            <w:pPr>
              <w:rPr>
                <w:rFonts w:cs="Arial"/>
                <w:color w:val="000000"/>
                <w:sz w:val="20"/>
                <w:szCs w:val="20"/>
              </w:rPr>
            </w:pPr>
            <w:r w:rsidRPr="002B3498">
              <w:rPr>
                <w:rFonts w:cs="Arial"/>
                <w:noProof/>
                <w:color w:val="000000"/>
                <w:sz w:val="20"/>
                <w:szCs w:val="20"/>
              </w:rPr>
              <w:drawing>
                <wp:inline distT="0" distB="0" distL="0" distR="0" wp14:anchorId="39B2FE9F" wp14:editId="22DEEC56">
                  <wp:extent cx="1070946" cy="1080000"/>
                  <wp:effectExtent l="0" t="0" r="0" b="6350"/>
                  <wp:docPr id="4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70946" cy="1080000"/>
                          </a:xfrm>
                          <a:prstGeom prst="rect">
                            <a:avLst/>
                          </a:prstGeom>
                          <a:noFill/>
                        </pic:spPr>
                      </pic:pic>
                    </a:graphicData>
                  </a:graphic>
                </wp:inline>
              </w:drawing>
            </w:r>
          </w:p>
        </w:tc>
      </w:tr>
      <w:tr w:rsidR="002B3498" w:rsidRPr="002B3498" w14:paraId="49C03EA3" w14:textId="77777777" w:rsidTr="00325503">
        <w:trPr>
          <w:jc w:val="center"/>
        </w:trPr>
        <w:tc>
          <w:tcPr>
            <w:tcW w:w="2234" w:type="dxa"/>
            <w:vAlign w:val="center"/>
          </w:tcPr>
          <w:p w14:paraId="1B052D89" w14:textId="77777777" w:rsidR="002B3498" w:rsidRPr="002B3498" w:rsidRDefault="002B3498" w:rsidP="005D551C">
            <w:pPr>
              <w:rPr>
                <w:rFonts w:cs="Arial"/>
                <w:b/>
                <w:color w:val="000000"/>
                <w:sz w:val="20"/>
                <w:szCs w:val="20"/>
              </w:rPr>
            </w:pPr>
            <w:r w:rsidRPr="002B3498">
              <w:rPr>
                <w:rFonts w:cs="Arial"/>
                <w:b/>
                <w:color w:val="000000"/>
                <w:sz w:val="20"/>
                <w:szCs w:val="20"/>
              </w:rPr>
              <w:t>HP 15</w:t>
            </w:r>
          </w:p>
        </w:tc>
        <w:tc>
          <w:tcPr>
            <w:tcW w:w="5666" w:type="dxa"/>
            <w:vAlign w:val="center"/>
          </w:tcPr>
          <w:p w14:paraId="30B09778" w14:textId="77777777" w:rsidR="002B3498" w:rsidRPr="002B3498" w:rsidRDefault="002B3498" w:rsidP="005D551C">
            <w:pPr>
              <w:rPr>
                <w:rFonts w:cs="Arial"/>
                <w:sz w:val="20"/>
                <w:szCs w:val="20"/>
              </w:rPr>
            </w:pPr>
            <w:r w:rsidRPr="002B3498">
              <w:rPr>
                <w:rFonts w:cs="Arial"/>
                <w:sz w:val="20"/>
                <w:szCs w:val="20"/>
              </w:rPr>
              <w:t>Residuos que pueden presentar una de las características de peligrosidad antes mencionadas que el residuo original no presentaba directamente.</w:t>
            </w:r>
          </w:p>
        </w:tc>
        <w:tc>
          <w:tcPr>
            <w:tcW w:w="2012" w:type="dxa"/>
            <w:vAlign w:val="center"/>
          </w:tcPr>
          <w:p w14:paraId="01AFA100" w14:textId="77777777" w:rsidR="002B3498" w:rsidRPr="002B3498" w:rsidRDefault="002B3498" w:rsidP="005D551C">
            <w:pPr>
              <w:rPr>
                <w:rFonts w:cs="Arial"/>
                <w:color w:val="000000"/>
                <w:sz w:val="20"/>
                <w:szCs w:val="20"/>
              </w:rPr>
            </w:pPr>
            <w:r w:rsidRPr="002B3498">
              <w:rPr>
                <w:rFonts w:cs="Arial"/>
                <w:sz w:val="20"/>
                <w:szCs w:val="20"/>
              </w:rPr>
              <w:t>No tiene pictogramas asociados.</w:t>
            </w:r>
          </w:p>
        </w:tc>
      </w:tr>
    </w:tbl>
    <w:p w14:paraId="42A47C97" w14:textId="0367BA5D" w:rsidR="00325503" w:rsidRDefault="00325503" w:rsidP="00325503">
      <w:pPr>
        <w:widowControl/>
        <w:autoSpaceDE/>
        <w:autoSpaceDN/>
        <w:adjustRightInd/>
        <w:spacing w:line="240" w:lineRule="auto"/>
        <w:jc w:val="left"/>
        <w:rPr>
          <w:rFonts w:cs="Arial"/>
          <w:color w:val="000000"/>
          <w:sz w:val="20"/>
          <w:szCs w:val="20"/>
        </w:rPr>
      </w:pPr>
    </w:p>
    <w:p w14:paraId="3D65376F" w14:textId="77777777" w:rsidR="00325503" w:rsidRDefault="00325503" w:rsidP="00325503">
      <w:pPr>
        <w:widowControl/>
        <w:autoSpaceDE/>
        <w:autoSpaceDN/>
        <w:adjustRightInd/>
        <w:spacing w:line="240" w:lineRule="auto"/>
        <w:jc w:val="left"/>
        <w:rPr>
          <w:rFonts w:cs="Arial"/>
          <w:color w:val="000000"/>
          <w:sz w:val="20"/>
          <w:szCs w:val="20"/>
        </w:rPr>
      </w:pPr>
    </w:p>
    <w:p w14:paraId="6F0C7942" w14:textId="77777777" w:rsidR="00325503" w:rsidRPr="00325503" w:rsidRDefault="00325503" w:rsidP="00325503">
      <w:pPr>
        <w:widowControl/>
        <w:autoSpaceDE/>
        <w:autoSpaceDN/>
        <w:adjustRightInd/>
        <w:spacing w:line="240" w:lineRule="auto"/>
        <w:jc w:val="left"/>
        <w:rPr>
          <w:rFonts w:cs="Arial"/>
          <w:color w:val="000000"/>
          <w:sz w:val="20"/>
          <w:szCs w:val="20"/>
        </w:rPr>
      </w:pPr>
    </w:p>
    <w:p w14:paraId="6D5CA85B" w14:textId="77777777" w:rsidR="00325503" w:rsidRPr="00325503" w:rsidRDefault="00325503" w:rsidP="001562A4">
      <w:pPr>
        <w:pStyle w:val="Prrafodelista"/>
        <w:widowControl/>
        <w:numPr>
          <w:ilvl w:val="0"/>
          <w:numId w:val="3"/>
        </w:numPr>
        <w:spacing w:line="360" w:lineRule="auto"/>
        <w:contextualSpacing/>
        <w:rPr>
          <w:rFonts w:cs="Arial"/>
          <w:b/>
          <w:bCs/>
          <w:caps/>
          <w:vanish/>
          <w:u w:val="single"/>
        </w:rPr>
      </w:pPr>
    </w:p>
    <w:p w14:paraId="0270E11D" w14:textId="77777777" w:rsidR="00325503" w:rsidRPr="00325503" w:rsidRDefault="00325503" w:rsidP="001562A4">
      <w:pPr>
        <w:pStyle w:val="Prrafodelista"/>
        <w:widowControl/>
        <w:numPr>
          <w:ilvl w:val="0"/>
          <w:numId w:val="3"/>
        </w:numPr>
        <w:spacing w:line="360" w:lineRule="auto"/>
        <w:contextualSpacing/>
        <w:rPr>
          <w:rFonts w:cs="Arial"/>
          <w:b/>
          <w:bCs/>
          <w:caps/>
          <w:vanish/>
          <w:u w:val="single"/>
        </w:rPr>
      </w:pPr>
    </w:p>
    <w:p w14:paraId="16573A31" w14:textId="77777777" w:rsidR="00325503" w:rsidRPr="00325503" w:rsidRDefault="00325503" w:rsidP="001562A4">
      <w:pPr>
        <w:pStyle w:val="Prrafodelista"/>
        <w:widowControl/>
        <w:numPr>
          <w:ilvl w:val="0"/>
          <w:numId w:val="3"/>
        </w:numPr>
        <w:spacing w:line="360" w:lineRule="auto"/>
        <w:contextualSpacing/>
        <w:rPr>
          <w:rFonts w:cs="Arial"/>
          <w:b/>
          <w:bCs/>
          <w:caps/>
          <w:vanish/>
          <w:u w:val="single"/>
        </w:rPr>
      </w:pPr>
    </w:p>
    <w:p w14:paraId="22A32F35" w14:textId="77777777" w:rsidR="00325503" w:rsidRPr="00325503" w:rsidRDefault="00325503" w:rsidP="001562A4">
      <w:pPr>
        <w:pStyle w:val="Prrafodelista"/>
        <w:widowControl/>
        <w:numPr>
          <w:ilvl w:val="0"/>
          <w:numId w:val="3"/>
        </w:numPr>
        <w:spacing w:line="360" w:lineRule="auto"/>
        <w:contextualSpacing/>
        <w:rPr>
          <w:rFonts w:cs="Arial"/>
          <w:b/>
          <w:bCs/>
          <w:caps/>
          <w:vanish/>
          <w:u w:val="single"/>
        </w:rPr>
      </w:pPr>
    </w:p>
    <w:p w14:paraId="409F3DEA" w14:textId="77777777" w:rsidR="00325503" w:rsidRPr="00325503" w:rsidRDefault="00325503" w:rsidP="001562A4">
      <w:pPr>
        <w:pStyle w:val="Prrafodelista"/>
        <w:widowControl/>
        <w:numPr>
          <w:ilvl w:val="0"/>
          <w:numId w:val="3"/>
        </w:numPr>
        <w:spacing w:line="360" w:lineRule="auto"/>
        <w:contextualSpacing/>
        <w:rPr>
          <w:rFonts w:cs="Arial"/>
          <w:b/>
          <w:bCs/>
          <w:caps/>
          <w:vanish/>
          <w:u w:val="single"/>
        </w:rPr>
      </w:pPr>
    </w:p>
    <w:p w14:paraId="0C252CAE" w14:textId="6956C3B7" w:rsidR="002B3498" w:rsidRDefault="002B3498" w:rsidP="001562A4">
      <w:pPr>
        <w:pStyle w:val="Prrafodelista"/>
        <w:widowControl/>
        <w:numPr>
          <w:ilvl w:val="0"/>
          <w:numId w:val="3"/>
        </w:numPr>
        <w:spacing w:line="360" w:lineRule="auto"/>
        <w:contextualSpacing/>
        <w:rPr>
          <w:rFonts w:cs="Arial"/>
          <w:b/>
          <w:bCs/>
          <w:caps/>
          <w:u w:val="single"/>
        </w:rPr>
      </w:pPr>
      <w:r w:rsidRPr="000609FE">
        <w:rPr>
          <w:rFonts w:cs="Arial"/>
          <w:b/>
          <w:bCs/>
          <w:caps/>
          <w:u w:val="single"/>
        </w:rPr>
        <w:t>PREVISIÓN DE OPERACIONES DE REUTILIZACIÓN, VALORIZACIÓN O ELIMINACIÓN DE RESIDUOS</w:t>
      </w:r>
    </w:p>
    <w:p w14:paraId="76F8446F" w14:textId="77777777" w:rsidR="00362CDD" w:rsidRPr="000609FE" w:rsidRDefault="00362CDD" w:rsidP="00362CDD">
      <w:pPr>
        <w:pStyle w:val="Prrafodelista"/>
        <w:widowControl/>
        <w:spacing w:line="360" w:lineRule="auto"/>
        <w:ind w:left="720"/>
        <w:contextualSpacing/>
        <w:rPr>
          <w:rFonts w:cs="Arial"/>
          <w:b/>
          <w:bCs/>
          <w:caps/>
          <w:u w:val="single"/>
        </w:rPr>
      </w:pPr>
    </w:p>
    <w:p w14:paraId="092FD559" w14:textId="05240C45" w:rsidR="002B3498" w:rsidRDefault="002B3498" w:rsidP="00206D99">
      <w:pPr>
        <w:pStyle w:val="Ttulo2"/>
        <w:numPr>
          <w:ilvl w:val="1"/>
          <w:numId w:val="3"/>
        </w:numPr>
      </w:pPr>
      <w:r w:rsidRPr="00362CDD">
        <w:t>OPERACIONES DE REUTILIZACIÓN</w:t>
      </w:r>
    </w:p>
    <w:p w14:paraId="54ECB032" w14:textId="77777777" w:rsidR="00362CDD" w:rsidRPr="00362CDD" w:rsidRDefault="00362CDD" w:rsidP="00362CDD"/>
    <w:p w14:paraId="0B186B69" w14:textId="1021FC28" w:rsidR="002B3498" w:rsidRDefault="002B3498" w:rsidP="002B3498">
      <w:pPr>
        <w:spacing w:line="360" w:lineRule="auto"/>
        <w:rPr>
          <w:rFonts w:cs="Arial"/>
          <w:color w:val="000000"/>
          <w:sz w:val="20"/>
          <w:szCs w:val="20"/>
        </w:rPr>
      </w:pPr>
      <w:r w:rsidRPr="002B3498">
        <w:rPr>
          <w:rFonts w:cs="Arial"/>
          <w:color w:val="000000"/>
          <w:sz w:val="20"/>
          <w:szCs w:val="20"/>
        </w:rPr>
        <w:t xml:space="preserve">Se considera “reutilización” cualquier operación mediante la cual productos o componentes de productos que no sean residuos se utilizan de nuevo con la misma finalidad para la que fueron </w:t>
      </w:r>
      <w:proofErr w:type="spellStart"/>
      <w:r w:rsidRPr="002B3498">
        <w:rPr>
          <w:rFonts w:cs="Arial"/>
          <w:color w:val="000000"/>
          <w:sz w:val="20"/>
          <w:szCs w:val="20"/>
        </w:rPr>
        <w:t>concebidos.No</w:t>
      </w:r>
      <w:proofErr w:type="spellEnd"/>
      <w:r w:rsidRPr="002B3498">
        <w:rPr>
          <w:rFonts w:cs="Arial"/>
          <w:color w:val="000000"/>
          <w:sz w:val="20"/>
          <w:szCs w:val="20"/>
        </w:rPr>
        <w:t xml:space="preserve"> se prevé una reutilización en los residuos detectados en la obra.</w:t>
      </w:r>
    </w:p>
    <w:p w14:paraId="17B4B635" w14:textId="77777777" w:rsidR="00362CDD" w:rsidRPr="002B3498" w:rsidRDefault="00362CDD" w:rsidP="002B3498">
      <w:pPr>
        <w:spacing w:line="360" w:lineRule="auto"/>
        <w:rPr>
          <w:rFonts w:cs="Arial"/>
          <w:color w:val="000000"/>
          <w:sz w:val="20"/>
          <w:szCs w:val="20"/>
        </w:rPr>
      </w:pPr>
    </w:p>
    <w:p w14:paraId="407F8B87" w14:textId="77777777" w:rsidR="002B3498" w:rsidRPr="00362CDD" w:rsidRDefault="002B3498" w:rsidP="00206D99">
      <w:pPr>
        <w:pStyle w:val="Ttulo2"/>
        <w:numPr>
          <w:ilvl w:val="1"/>
          <w:numId w:val="3"/>
        </w:numPr>
      </w:pPr>
      <w:r w:rsidRPr="00362CDD">
        <w:t>OPERACIONES DE VALORIZACIÓN</w:t>
      </w:r>
    </w:p>
    <w:p w14:paraId="78188B43" w14:textId="77777777" w:rsidR="002B3498" w:rsidRPr="002B3498" w:rsidRDefault="002B3498" w:rsidP="002B3498">
      <w:pPr>
        <w:spacing w:line="360" w:lineRule="auto"/>
        <w:rPr>
          <w:rFonts w:cs="Arial"/>
          <w:color w:val="000000"/>
          <w:sz w:val="20"/>
          <w:szCs w:val="20"/>
        </w:rPr>
      </w:pPr>
    </w:p>
    <w:p w14:paraId="60A385A5" w14:textId="77777777" w:rsidR="002B3498" w:rsidRDefault="002B3498" w:rsidP="002B3498">
      <w:pPr>
        <w:spacing w:line="360" w:lineRule="auto"/>
        <w:rPr>
          <w:rFonts w:cs="Arial"/>
          <w:color w:val="000000"/>
          <w:sz w:val="20"/>
          <w:szCs w:val="20"/>
        </w:rPr>
      </w:pPr>
      <w:r w:rsidRPr="002B3498">
        <w:rPr>
          <w:rFonts w:cs="Arial"/>
          <w:color w:val="000000"/>
          <w:sz w:val="20"/>
          <w:szCs w:val="20"/>
        </w:rPr>
        <w:t>Se considera “valorización” cualquier operación cuyo resultado principal sea que el residuo sirva a una finalidad útil al sustituir a otros materiales, que de otro modo se habrían utilizado para cumplir una función particular o que el residuo sea preparado para cumplir esa función en la instalación o en la economía en general.</w:t>
      </w:r>
    </w:p>
    <w:p w14:paraId="52F76BB6" w14:textId="77777777" w:rsidR="00325503" w:rsidRPr="002B3498" w:rsidRDefault="00325503" w:rsidP="002B3498">
      <w:pPr>
        <w:spacing w:line="360" w:lineRule="auto"/>
        <w:rPr>
          <w:rFonts w:cs="Arial"/>
          <w:color w:val="000000"/>
          <w:sz w:val="20"/>
          <w:szCs w:val="20"/>
        </w:rPr>
      </w:pPr>
    </w:p>
    <w:p w14:paraId="7C4AF1F7" w14:textId="77777777" w:rsidR="002B3498" w:rsidRDefault="002B3498" w:rsidP="002B3498">
      <w:pPr>
        <w:spacing w:line="360" w:lineRule="auto"/>
        <w:rPr>
          <w:rFonts w:cs="Arial"/>
          <w:color w:val="000000"/>
          <w:sz w:val="20"/>
          <w:szCs w:val="20"/>
        </w:rPr>
      </w:pPr>
      <w:r w:rsidRPr="002B3498">
        <w:rPr>
          <w:rFonts w:cs="Arial"/>
          <w:color w:val="000000"/>
          <w:sz w:val="20"/>
          <w:szCs w:val="20"/>
        </w:rPr>
        <w:t>Las operaciones de valorización deberán ser realizadas por gestores autorizados por el organismo competente en materia de medio ambiente de la Comunidad Autónoma.</w:t>
      </w:r>
    </w:p>
    <w:p w14:paraId="29417275" w14:textId="77777777" w:rsidR="00325503" w:rsidRPr="002B3498" w:rsidRDefault="00325503" w:rsidP="002B3498">
      <w:pPr>
        <w:spacing w:line="360" w:lineRule="auto"/>
        <w:rPr>
          <w:rFonts w:cs="Arial"/>
          <w:color w:val="000000"/>
          <w:sz w:val="20"/>
          <w:szCs w:val="20"/>
        </w:rPr>
      </w:pPr>
    </w:p>
    <w:p w14:paraId="62318791" w14:textId="77777777" w:rsidR="002B3498" w:rsidRDefault="002B3498" w:rsidP="002B3498">
      <w:pPr>
        <w:spacing w:line="360" w:lineRule="auto"/>
        <w:rPr>
          <w:rFonts w:cs="Arial"/>
          <w:color w:val="000000"/>
          <w:sz w:val="20"/>
          <w:szCs w:val="20"/>
        </w:rPr>
      </w:pPr>
      <w:r w:rsidRPr="002B3498">
        <w:rPr>
          <w:rFonts w:cs="Arial"/>
          <w:color w:val="000000"/>
          <w:sz w:val="20"/>
          <w:szCs w:val="20"/>
        </w:rPr>
        <w:t>Tras el análisis de los gestores de residuos que realizan operaciones de transporte/recogida y valorización en el entorno donde se desarrolla la obra, se prevé que todos los residuos que no sean reutilizados en la propia obra se destinen a operaciones de valorización.</w:t>
      </w:r>
    </w:p>
    <w:p w14:paraId="78EC0B3E" w14:textId="77777777" w:rsidR="00325503" w:rsidRPr="002B3498" w:rsidRDefault="00325503" w:rsidP="002B3498">
      <w:pPr>
        <w:spacing w:line="360" w:lineRule="auto"/>
        <w:rPr>
          <w:rFonts w:cs="Arial"/>
          <w:color w:val="000000"/>
          <w:sz w:val="20"/>
          <w:szCs w:val="20"/>
        </w:rPr>
      </w:pPr>
    </w:p>
    <w:p w14:paraId="212AA2D0" w14:textId="3BDBD7F5" w:rsidR="002B3498" w:rsidRDefault="002B3498" w:rsidP="002B3498">
      <w:pPr>
        <w:spacing w:line="360" w:lineRule="auto"/>
        <w:rPr>
          <w:rFonts w:cs="Arial"/>
          <w:color w:val="000000"/>
          <w:sz w:val="20"/>
          <w:szCs w:val="20"/>
        </w:rPr>
      </w:pPr>
      <w:r w:rsidRPr="002B3498">
        <w:rPr>
          <w:rFonts w:cs="Arial"/>
          <w:color w:val="000000"/>
          <w:sz w:val="20"/>
          <w:szCs w:val="20"/>
        </w:rPr>
        <w:t>En el Anexo II de la Ley 7/2022, de 8 de abril, de residuos y suelos contaminados para una economía circular, se recoge una lista no exhaustiva de operaciones de valorización.</w:t>
      </w:r>
    </w:p>
    <w:p w14:paraId="12783978" w14:textId="77777777" w:rsidR="00325503" w:rsidRPr="002B3498" w:rsidRDefault="00325503" w:rsidP="002B3498">
      <w:pPr>
        <w:spacing w:line="360" w:lineRule="auto"/>
        <w:rPr>
          <w:rFonts w:cs="Arial"/>
          <w:color w:val="000000"/>
          <w:sz w:val="20"/>
          <w:szCs w:val="20"/>
        </w:rPr>
      </w:pPr>
    </w:p>
    <w:p w14:paraId="7BB4D6EE" w14:textId="04359A58" w:rsidR="002B3498" w:rsidRDefault="002B3498" w:rsidP="002B3498">
      <w:pPr>
        <w:spacing w:line="360" w:lineRule="auto"/>
        <w:rPr>
          <w:rFonts w:cs="Arial"/>
          <w:color w:val="000000"/>
          <w:sz w:val="20"/>
          <w:szCs w:val="20"/>
        </w:rPr>
      </w:pPr>
      <w:r w:rsidRPr="002B3498">
        <w:rPr>
          <w:rFonts w:cs="Arial"/>
          <w:color w:val="000000"/>
          <w:sz w:val="20"/>
          <w:szCs w:val="20"/>
        </w:rPr>
        <w:t>En caso, de utilización (previa autorización de gestor autorizado) de los residuos inertes en obras de restauración, acondicionamiento o relleno se deberá tener en cuenta lo dispuesto en el art.13 del Real Decreto 105/2008, donde se especifica que; la utilización de residuos inertes procedentes de actividades de construcción o demolición en la restauración de un espacio ambientalmente degradado, en obras de acondicionamiento o relleno, podrá ser considerada una operación de valorización, y no una operación de eliminación de residuos en vertedero, cuando se cumplan los siguientes requisitos:</w:t>
      </w:r>
    </w:p>
    <w:p w14:paraId="4ED0BF61" w14:textId="77777777" w:rsidR="00325503" w:rsidRPr="002B3498" w:rsidRDefault="00325503" w:rsidP="002B3498">
      <w:pPr>
        <w:spacing w:line="360" w:lineRule="auto"/>
        <w:rPr>
          <w:rFonts w:cs="Arial"/>
          <w:color w:val="000000"/>
          <w:sz w:val="20"/>
          <w:szCs w:val="20"/>
        </w:rPr>
      </w:pPr>
    </w:p>
    <w:p w14:paraId="63A672B4" w14:textId="06B466E3" w:rsidR="002B3498" w:rsidRPr="00325503" w:rsidRDefault="002B3498" w:rsidP="001562A4">
      <w:pPr>
        <w:pStyle w:val="Prrafodelista"/>
        <w:numPr>
          <w:ilvl w:val="0"/>
          <w:numId w:val="5"/>
        </w:numPr>
        <w:spacing w:line="360" w:lineRule="auto"/>
        <w:rPr>
          <w:rFonts w:cs="Arial"/>
          <w:color w:val="000000"/>
          <w:sz w:val="20"/>
          <w:szCs w:val="20"/>
        </w:rPr>
      </w:pPr>
      <w:r w:rsidRPr="00325503">
        <w:rPr>
          <w:rFonts w:cs="Arial"/>
          <w:color w:val="000000"/>
          <w:sz w:val="20"/>
          <w:szCs w:val="20"/>
        </w:rPr>
        <w:t>Que el órgano competente en materia medioambiental de la comunidad autónoma así lo haya declarado antes del inicio de las operaciones de gestión de los residuos.</w:t>
      </w:r>
    </w:p>
    <w:p w14:paraId="038B422E" w14:textId="06406DF4" w:rsidR="002B3498" w:rsidRPr="002B3498" w:rsidRDefault="002B3498" w:rsidP="001562A4">
      <w:pPr>
        <w:pStyle w:val="Prrafodelista"/>
        <w:numPr>
          <w:ilvl w:val="0"/>
          <w:numId w:val="5"/>
        </w:numPr>
        <w:spacing w:line="360" w:lineRule="auto"/>
        <w:rPr>
          <w:rFonts w:cs="Arial"/>
          <w:color w:val="000000"/>
          <w:sz w:val="20"/>
          <w:szCs w:val="20"/>
        </w:rPr>
      </w:pPr>
      <w:r w:rsidRPr="002B3498">
        <w:rPr>
          <w:rFonts w:cs="Arial"/>
          <w:color w:val="000000"/>
          <w:sz w:val="20"/>
          <w:szCs w:val="20"/>
        </w:rPr>
        <w:t>Que la operación se realice por un gestor de residuos sometido a autorización administrativa de valorización de residuos. No se exigirá autorización de gestor de residuos para el uso de aquellos materiales obtenidos en una operación de valorización de residuos de construcción y demolición que no posean la calificación jurídica de residuo y cumplan los requisitos técnicos y legales para el uso al que se destinen.</w:t>
      </w:r>
    </w:p>
    <w:p w14:paraId="45093323" w14:textId="1EA9AEC9" w:rsidR="002B3498" w:rsidRPr="002B3498" w:rsidRDefault="002B3498" w:rsidP="001562A4">
      <w:pPr>
        <w:pStyle w:val="Prrafodelista"/>
        <w:numPr>
          <w:ilvl w:val="0"/>
          <w:numId w:val="5"/>
        </w:numPr>
        <w:spacing w:line="360" w:lineRule="auto"/>
        <w:rPr>
          <w:rFonts w:cs="Arial"/>
          <w:color w:val="000000"/>
          <w:sz w:val="20"/>
          <w:szCs w:val="20"/>
        </w:rPr>
      </w:pPr>
      <w:r w:rsidRPr="002B3498">
        <w:rPr>
          <w:rFonts w:cs="Arial"/>
          <w:color w:val="000000"/>
          <w:sz w:val="20"/>
          <w:szCs w:val="20"/>
        </w:rPr>
        <w:t>Que el resultado de la operación sea la sustitución de recursos naturales que, en caso contrario, deberían haberse utilizado para cumplir el fin buscado con la obra de restauración, acondicionamiento o relleno.</w:t>
      </w:r>
    </w:p>
    <w:p w14:paraId="0CFB8F39" w14:textId="4E627C18" w:rsidR="002B3498" w:rsidRPr="002B3498" w:rsidRDefault="002B3498" w:rsidP="002B3498">
      <w:pPr>
        <w:spacing w:line="360" w:lineRule="auto"/>
        <w:rPr>
          <w:rFonts w:cs="Arial"/>
          <w:color w:val="000000"/>
          <w:sz w:val="20"/>
          <w:szCs w:val="20"/>
        </w:rPr>
      </w:pPr>
    </w:p>
    <w:p w14:paraId="29B23874" w14:textId="77777777" w:rsidR="002B3498" w:rsidRDefault="002B3498" w:rsidP="00206D99">
      <w:pPr>
        <w:pStyle w:val="Ttulo2"/>
        <w:numPr>
          <w:ilvl w:val="1"/>
          <w:numId w:val="3"/>
        </w:numPr>
      </w:pPr>
      <w:r w:rsidRPr="00362CDD">
        <w:t>OPERACIONES DE ELIMINACIÓN</w:t>
      </w:r>
    </w:p>
    <w:p w14:paraId="40EF1ABC" w14:textId="77777777" w:rsidR="00362CDD" w:rsidRPr="00362CDD" w:rsidRDefault="00362CDD" w:rsidP="00362CDD"/>
    <w:p w14:paraId="352C7D34"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Se considera “eliminación” cualquier operación que no sea la valorización, incluso cuando la operación tenga como consecuencia secundaria el aprovechamiento de sustancias o materiales, siempre que estos no superen el 50 % en peso del residuo tratado, o el aprovechamiento de energía. En el anexo III de la Ley 7/2022, de 8 de abril, de residuos y suelos contaminados para una economía circular se recoge una lista no exhaustiva de operaciones de eliminación.</w:t>
      </w:r>
    </w:p>
    <w:p w14:paraId="06CBFD2D" w14:textId="7513EA95" w:rsidR="002B3498" w:rsidRPr="002B3498" w:rsidRDefault="002B3498" w:rsidP="002B3498">
      <w:pPr>
        <w:spacing w:line="360" w:lineRule="auto"/>
        <w:rPr>
          <w:rFonts w:cs="Arial"/>
          <w:color w:val="000000"/>
          <w:sz w:val="20"/>
          <w:szCs w:val="20"/>
        </w:rPr>
      </w:pPr>
    </w:p>
    <w:p w14:paraId="5ABC4D2F" w14:textId="142B537C" w:rsidR="002B3498" w:rsidRDefault="002B3498" w:rsidP="00206D99">
      <w:pPr>
        <w:pStyle w:val="Ttulo2"/>
        <w:numPr>
          <w:ilvl w:val="1"/>
          <w:numId w:val="3"/>
        </w:numPr>
      </w:pPr>
      <w:r w:rsidRPr="00362CDD">
        <w:t>TABLA RESUMEN PREVISIÓN DE OPERACIONES</w:t>
      </w:r>
    </w:p>
    <w:p w14:paraId="657E7F86" w14:textId="6E84E71A" w:rsidR="00362CDD" w:rsidRPr="00362CDD" w:rsidRDefault="00362CDD" w:rsidP="00362CDD"/>
    <w:p w14:paraId="04E9F9DE" w14:textId="4ED119C8" w:rsidR="002B3498" w:rsidRDefault="002B3498" w:rsidP="002B3498">
      <w:pPr>
        <w:spacing w:line="360" w:lineRule="auto"/>
        <w:rPr>
          <w:rFonts w:cs="Arial"/>
          <w:color w:val="000000"/>
          <w:sz w:val="20"/>
          <w:szCs w:val="20"/>
        </w:rPr>
      </w:pPr>
      <w:r w:rsidRPr="002B3498">
        <w:rPr>
          <w:rFonts w:cs="Arial"/>
          <w:color w:val="000000"/>
          <w:sz w:val="20"/>
          <w:szCs w:val="20"/>
        </w:rPr>
        <w:t xml:space="preserve">En la siguiente tabla se recogen la previsión de operaciones de valorización y eliminación a que se destinarán los </w:t>
      </w:r>
      <w:proofErr w:type="spellStart"/>
      <w:r w:rsidRPr="002B3498">
        <w:rPr>
          <w:rFonts w:cs="Arial"/>
          <w:color w:val="000000"/>
          <w:sz w:val="20"/>
          <w:szCs w:val="20"/>
        </w:rPr>
        <w:t>residuosde</w:t>
      </w:r>
      <w:proofErr w:type="spellEnd"/>
      <w:r w:rsidRPr="002B3498">
        <w:rPr>
          <w:rFonts w:cs="Arial"/>
          <w:color w:val="000000"/>
          <w:sz w:val="20"/>
          <w:szCs w:val="20"/>
        </w:rPr>
        <w:t xml:space="preserve"> construcción y demolición generados/gestionados en el proyecto y que se prevén utilizar en la misma obra (lista de operaciones recogida en el Anejo II del Decreto Foral 23/2011).</w:t>
      </w:r>
    </w:p>
    <w:p w14:paraId="6EA3124F" w14:textId="77777777" w:rsidR="00325503" w:rsidRPr="002B3498" w:rsidRDefault="00325503" w:rsidP="002B3498">
      <w:pPr>
        <w:spacing w:line="360" w:lineRule="auto"/>
        <w:rPr>
          <w:rFonts w:cs="Arial"/>
          <w:color w:val="000000"/>
          <w:sz w:val="20"/>
          <w:szCs w:val="20"/>
        </w:rPr>
      </w:pPr>
    </w:p>
    <w:p w14:paraId="1F235B72" w14:textId="28403439" w:rsidR="002B3498" w:rsidRDefault="002B3498" w:rsidP="002B3498">
      <w:pPr>
        <w:spacing w:line="360" w:lineRule="auto"/>
        <w:rPr>
          <w:rFonts w:cs="Arial"/>
          <w:color w:val="000000"/>
          <w:sz w:val="20"/>
          <w:szCs w:val="20"/>
        </w:rPr>
      </w:pPr>
      <w:r w:rsidRPr="002B3498">
        <w:rPr>
          <w:rFonts w:cs="Arial"/>
          <w:color w:val="000000"/>
          <w:sz w:val="20"/>
          <w:szCs w:val="20"/>
        </w:rPr>
        <w:t>El resto de residuos, que no hay previsión de reutilización in situ, serán transportados a vertedero autorizado por gestor autorizado, donde se procederá a realizar las operaciones de valorización y eliminación pertinentes.</w:t>
      </w:r>
    </w:p>
    <w:p w14:paraId="010250DF" w14:textId="77777777" w:rsidR="00325503" w:rsidRDefault="00325503" w:rsidP="002B3498">
      <w:pPr>
        <w:spacing w:line="360" w:lineRule="auto"/>
        <w:rPr>
          <w:rFonts w:cs="Arial"/>
          <w:color w:val="000000"/>
          <w:sz w:val="20"/>
          <w:szCs w:val="20"/>
        </w:rPr>
      </w:pPr>
    </w:p>
    <w:p w14:paraId="50E52B57" w14:textId="77777777" w:rsidR="00325503" w:rsidRDefault="00325503" w:rsidP="002B3498">
      <w:pPr>
        <w:spacing w:line="360" w:lineRule="auto"/>
        <w:rPr>
          <w:rFonts w:cs="Arial"/>
          <w:color w:val="000000"/>
          <w:sz w:val="20"/>
          <w:szCs w:val="20"/>
        </w:rPr>
      </w:pPr>
    </w:p>
    <w:p w14:paraId="02BC8885" w14:textId="77777777" w:rsidR="00325503" w:rsidRDefault="00325503" w:rsidP="002B3498">
      <w:pPr>
        <w:spacing w:line="360" w:lineRule="auto"/>
        <w:rPr>
          <w:rFonts w:cs="Arial"/>
          <w:color w:val="000000"/>
          <w:sz w:val="20"/>
          <w:szCs w:val="20"/>
        </w:rPr>
      </w:pPr>
    </w:p>
    <w:p w14:paraId="15CE0214" w14:textId="77777777" w:rsidR="00325503" w:rsidRDefault="00325503" w:rsidP="002B3498">
      <w:pPr>
        <w:spacing w:line="360" w:lineRule="auto"/>
        <w:rPr>
          <w:rFonts w:cs="Arial"/>
          <w:color w:val="000000"/>
          <w:sz w:val="20"/>
          <w:szCs w:val="20"/>
        </w:rPr>
      </w:pPr>
    </w:p>
    <w:p w14:paraId="1B326FBE" w14:textId="77777777" w:rsidR="00325503" w:rsidRPr="002B3498" w:rsidRDefault="00325503" w:rsidP="002B3498">
      <w:pPr>
        <w:spacing w:line="360" w:lineRule="auto"/>
        <w:rPr>
          <w:rFonts w:cs="Arial"/>
          <w:color w:val="000000"/>
          <w:sz w:val="20"/>
          <w:szCs w:val="20"/>
        </w:rPr>
      </w:pPr>
    </w:p>
    <w:p w14:paraId="2A77D4D2" w14:textId="6F882581" w:rsidR="002B3498" w:rsidRPr="002B3498" w:rsidRDefault="00362CDD" w:rsidP="002B3498">
      <w:pPr>
        <w:tabs>
          <w:tab w:val="left" w:pos="350"/>
          <w:tab w:val="right" w:pos="9552"/>
        </w:tabs>
        <w:spacing w:line="312" w:lineRule="auto"/>
        <w:rPr>
          <w:rFonts w:cs="Arial"/>
          <w:b/>
          <w:sz w:val="20"/>
          <w:szCs w:val="20"/>
        </w:rPr>
      </w:pPr>
      <w:r w:rsidRPr="002B3498">
        <w:rPr>
          <w:b/>
          <w:i/>
          <w:noProof/>
          <w:sz w:val="20"/>
          <w:szCs w:val="20"/>
          <w:u w:val="single"/>
        </w:rPr>
        <w:drawing>
          <wp:anchor distT="0" distB="0" distL="114300" distR="114300" simplePos="0" relativeHeight="251659264" behindDoc="0" locked="0" layoutInCell="1" allowOverlap="1" wp14:anchorId="5D1D5929" wp14:editId="49A521B4">
            <wp:simplePos x="0" y="0"/>
            <wp:positionH relativeFrom="column">
              <wp:posOffset>-174625</wp:posOffset>
            </wp:positionH>
            <wp:positionV relativeFrom="paragraph">
              <wp:posOffset>95885</wp:posOffset>
            </wp:positionV>
            <wp:extent cx="6785720" cy="5059045"/>
            <wp:effectExtent l="0" t="0" r="0" b="0"/>
            <wp:wrapNone/>
            <wp:docPr id="4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6785720" cy="50590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22C3CCD" w14:textId="205171D1" w:rsidR="002B3498" w:rsidRPr="002B3498" w:rsidRDefault="002B3498" w:rsidP="002B3498">
      <w:pPr>
        <w:widowControl/>
        <w:autoSpaceDE/>
        <w:autoSpaceDN/>
        <w:adjustRightInd/>
        <w:spacing w:line="240" w:lineRule="auto"/>
        <w:jc w:val="left"/>
        <w:rPr>
          <w:rFonts w:cs="Arial"/>
          <w:b/>
          <w:sz w:val="20"/>
          <w:szCs w:val="20"/>
        </w:rPr>
      </w:pPr>
      <w:r w:rsidRPr="002B3498">
        <w:rPr>
          <w:rFonts w:cs="Arial"/>
          <w:b/>
          <w:sz w:val="20"/>
          <w:szCs w:val="20"/>
        </w:rPr>
        <w:br w:type="page"/>
      </w:r>
    </w:p>
    <w:p w14:paraId="2D73831D" w14:textId="186C3446" w:rsidR="001562A4" w:rsidRDefault="002B3498" w:rsidP="001562A4">
      <w:pPr>
        <w:pStyle w:val="Prrafodelista"/>
        <w:widowControl/>
        <w:numPr>
          <w:ilvl w:val="0"/>
          <w:numId w:val="3"/>
        </w:numPr>
        <w:spacing w:line="360" w:lineRule="auto"/>
        <w:contextualSpacing/>
        <w:rPr>
          <w:rFonts w:cs="Arial"/>
          <w:b/>
          <w:bCs/>
          <w:caps/>
          <w:u w:val="single"/>
        </w:rPr>
      </w:pPr>
      <w:r w:rsidRPr="00362CDD">
        <w:rPr>
          <w:rFonts w:cs="Arial"/>
          <w:b/>
          <w:bCs/>
          <w:caps/>
          <w:u w:val="single"/>
        </w:rPr>
        <w:lastRenderedPageBreak/>
        <w:t>PLANO DE INSTALACIÓNES PREVISTAS PARA EL ALMACENAMIENTO, MANEJO Y SEPARACIÓN DE RESIDUOS</w:t>
      </w:r>
    </w:p>
    <w:p w14:paraId="0A1E29F7" w14:textId="77777777" w:rsidR="001562A4" w:rsidRDefault="001562A4" w:rsidP="001562A4">
      <w:pPr>
        <w:pStyle w:val="Prrafodelista"/>
        <w:widowControl/>
        <w:spacing w:line="360" w:lineRule="auto"/>
        <w:ind w:left="720"/>
        <w:contextualSpacing/>
        <w:rPr>
          <w:rFonts w:cs="Arial"/>
          <w:b/>
          <w:bCs/>
          <w:caps/>
          <w:u w:val="single"/>
        </w:rPr>
      </w:pPr>
    </w:p>
    <w:p w14:paraId="423C959D" w14:textId="77777777" w:rsidR="001562A4" w:rsidRPr="001562A4" w:rsidRDefault="001562A4" w:rsidP="001562A4">
      <w:pPr>
        <w:pStyle w:val="Prrafodelista"/>
        <w:widowControl/>
        <w:spacing w:line="360" w:lineRule="auto"/>
        <w:ind w:left="720"/>
        <w:contextualSpacing/>
        <w:rPr>
          <w:rFonts w:cs="Arial"/>
          <w:b/>
          <w:bCs/>
          <w:caps/>
          <w:u w:val="single"/>
        </w:rPr>
      </w:pPr>
    </w:p>
    <w:p w14:paraId="165E2F5E" w14:textId="77777777" w:rsidR="002B3498" w:rsidRPr="002B3498" w:rsidRDefault="002B3498" w:rsidP="002B3498">
      <w:pPr>
        <w:spacing w:line="360" w:lineRule="auto"/>
        <w:rPr>
          <w:rFonts w:cs="Arial"/>
          <w:color w:val="000000"/>
          <w:sz w:val="20"/>
          <w:szCs w:val="20"/>
        </w:rPr>
      </w:pPr>
      <w:r w:rsidRPr="002B3498">
        <w:rPr>
          <w:rFonts w:cs="Arial"/>
          <w:noProof/>
          <w:color w:val="000000"/>
          <w:sz w:val="20"/>
          <w:szCs w:val="20"/>
        </w:rPr>
        <w:drawing>
          <wp:inline distT="0" distB="0" distL="0" distR="0" wp14:anchorId="72DBE9F0" wp14:editId="79AA8AA1">
            <wp:extent cx="6120765" cy="6356985"/>
            <wp:effectExtent l="19050" t="0" r="0" b="0"/>
            <wp:docPr id="47" name="0 Imagen" descr="8.1zonaalmacenamientoresidu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zonaalmacenamientoresiduos.png"/>
                    <pic:cNvPicPr/>
                  </pic:nvPicPr>
                  <pic:blipFill>
                    <a:blip r:embed="rId20"/>
                    <a:stretch>
                      <a:fillRect/>
                    </a:stretch>
                  </pic:blipFill>
                  <pic:spPr>
                    <a:xfrm>
                      <a:off x="0" y="0"/>
                      <a:ext cx="6120765" cy="6356985"/>
                    </a:xfrm>
                    <a:prstGeom prst="rect">
                      <a:avLst/>
                    </a:prstGeom>
                  </pic:spPr>
                </pic:pic>
              </a:graphicData>
            </a:graphic>
          </wp:inline>
        </w:drawing>
      </w:r>
    </w:p>
    <w:p w14:paraId="364BF80D" w14:textId="77777777" w:rsidR="002B3498" w:rsidRPr="002B3498" w:rsidRDefault="002B3498" w:rsidP="002B3498">
      <w:pPr>
        <w:spacing w:line="360" w:lineRule="auto"/>
        <w:rPr>
          <w:rFonts w:cs="Arial"/>
          <w:color w:val="000000"/>
          <w:sz w:val="20"/>
          <w:szCs w:val="20"/>
        </w:rPr>
      </w:pPr>
    </w:p>
    <w:p w14:paraId="1B77C877" w14:textId="28450B4B" w:rsidR="002B3498" w:rsidRDefault="002B3498" w:rsidP="002B3498">
      <w:pPr>
        <w:widowControl/>
        <w:autoSpaceDE/>
        <w:autoSpaceDN/>
        <w:adjustRightInd/>
        <w:spacing w:line="240" w:lineRule="auto"/>
        <w:jc w:val="left"/>
        <w:rPr>
          <w:rFonts w:cs="Arial"/>
          <w:color w:val="000000"/>
          <w:sz w:val="20"/>
          <w:szCs w:val="20"/>
        </w:rPr>
      </w:pPr>
    </w:p>
    <w:p w14:paraId="5197E6C9" w14:textId="77777777" w:rsidR="001562A4" w:rsidRDefault="001562A4" w:rsidP="002B3498">
      <w:pPr>
        <w:widowControl/>
        <w:autoSpaceDE/>
        <w:autoSpaceDN/>
        <w:adjustRightInd/>
        <w:spacing w:line="240" w:lineRule="auto"/>
        <w:jc w:val="left"/>
        <w:rPr>
          <w:rFonts w:cs="Arial"/>
          <w:color w:val="000000"/>
          <w:sz w:val="20"/>
          <w:szCs w:val="20"/>
        </w:rPr>
      </w:pPr>
    </w:p>
    <w:p w14:paraId="4B7D8F8D" w14:textId="77777777" w:rsidR="001562A4" w:rsidRDefault="001562A4" w:rsidP="002B3498">
      <w:pPr>
        <w:widowControl/>
        <w:autoSpaceDE/>
        <w:autoSpaceDN/>
        <w:adjustRightInd/>
        <w:spacing w:line="240" w:lineRule="auto"/>
        <w:jc w:val="left"/>
        <w:rPr>
          <w:rFonts w:cs="Arial"/>
          <w:color w:val="000000"/>
          <w:sz w:val="20"/>
          <w:szCs w:val="20"/>
        </w:rPr>
      </w:pPr>
    </w:p>
    <w:p w14:paraId="2AF8E898" w14:textId="77777777" w:rsidR="001562A4" w:rsidRDefault="001562A4" w:rsidP="002B3498">
      <w:pPr>
        <w:widowControl/>
        <w:autoSpaceDE/>
        <w:autoSpaceDN/>
        <w:adjustRightInd/>
        <w:spacing w:line="240" w:lineRule="auto"/>
        <w:jc w:val="left"/>
        <w:rPr>
          <w:rFonts w:cs="Arial"/>
          <w:color w:val="000000"/>
          <w:sz w:val="20"/>
          <w:szCs w:val="20"/>
        </w:rPr>
      </w:pPr>
    </w:p>
    <w:p w14:paraId="29FFD6ED" w14:textId="77777777" w:rsidR="001562A4" w:rsidRDefault="001562A4" w:rsidP="002B3498">
      <w:pPr>
        <w:widowControl/>
        <w:autoSpaceDE/>
        <w:autoSpaceDN/>
        <w:adjustRightInd/>
        <w:spacing w:line="240" w:lineRule="auto"/>
        <w:jc w:val="left"/>
        <w:rPr>
          <w:rFonts w:cs="Arial"/>
          <w:color w:val="000000"/>
          <w:sz w:val="20"/>
          <w:szCs w:val="20"/>
        </w:rPr>
      </w:pPr>
    </w:p>
    <w:p w14:paraId="56E5156B" w14:textId="77777777" w:rsidR="001562A4" w:rsidRPr="002B3498" w:rsidRDefault="001562A4" w:rsidP="002B3498">
      <w:pPr>
        <w:widowControl/>
        <w:autoSpaceDE/>
        <w:autoSpaceDN/>
        <w:adjustRightInd/>
        <w:spacing w:line="240" w:lineRule="auto"/>
        <w:jc w:val="left"/>
        <w:rPr>
          <w:rFonts w:cs="Arial"/>
          <w:color w:val="000000"/>
          <w:sz w:val="20"/>
          <w:szCs w:val="20"/>
        </w:rPr>
      </w:pPr>
    </w:p>
    <w:p w14:paraId="5D524A7B" w14:textId="77777777" w:rsidR="002B3498" w:rsidRPr="00362CDD" w:rsidRDefault="002B3498" w:rsidP="001562A4">
      <w:pPr>
        <w:pStyle w:val="Prrafodelista"/>
        <w:widowControl/>
        <w:numPr>
          <w:ilvl w:val="0"/>
          <w:numId w:val="3"/>
        </w:numPr>
        <w:spacing w:line="360" w:lineRule="auto"/>
        <w:contextualSpacing/>
        <w:rPr>
          <w:rFonts w:cs="Arial"/>
          <w:b/>
          <w:bCs/>
          <w:caps/>
          <w:u w:val="single"/>
        </w:rPr>
      </w:pPr>
      <w:r w:rsidRPr="00362CDD">
        <w:rPr>
          <w:rFonts w:cs="Arial"/>
          <w:b/>
          <w:bCs/>
          <w:caps/>
          <w:u w:val="single"/>
        </w:rPr>
        <w:t>PLIEGO DE PRESCRIPCIONES TÉCNICAS EN RELACIÓN CON LOS RESIDUOS DENTRO DE LA OBRA</w:t>
      </w:r>
    </w:p>
    <w:p w14:paraId="390034F0" w14:textId="77777777" w:rsidR="002B3498" w:rsidRPr="002B3498" w:rsidRDefault="002B3498" w:rsidP="002B3498">
      <w:pPr>
        <w:spacing w:line="360" w:lineRule="auto"/>
        <w:rPr>
          <w:rFonts w:cs="Arial"/>
          <w:color w:val="000000"/>
          <w:sz w:val="20"/>
          <w:szCs w:val="20"/>
        </w:rPr>
      </w:pPr>
    </w:p>
    <w:p w14:paraId="57FBB660"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Es objeto del presente pliego definir las características técnicas que han de regir la gestión de los residuos de construcción y demolición que se generen en la obra.</w:t>
      </w:r>
    </w:p>
    <w:p w14:paraId="6E905CE2" w14:textId="77777777" w:rsidR="002B3498" w:rsidRPr="002B3498" w:rsidRDefault="002B3498" w:rsidP="002B3498">
      <w:pPr>
        <w:spacing w:line="360" w:lineRule="auto"/>
        <w:rPr>
          <w:rFonts w:cs="Arial"/>
          <w:color w:val="000000"/>
          <w:sz w:val="20"/>
          <w:szCs w:val="20"/>
        </w:rPr>
      </w:pPr>
    </w:p>
    <w:p w14:paraId="33484C67" w14:textId="2BB54C80" w:rsidR="002B3498" w:rsidRDefault="002B3498" w:rsidP="00206D99">
      <w:pPr>
        <w:pStyle w:val="Ttulo2"/>
        <w:numPr>
          <w:ilvl w:val="1"/>
          <w:numId w:val="3"/>
        </w:numPr>
      </w:pPr>
      <w:r w:rsidRPr="001562A4">
        <w:t>ALMACENAMIENTO DE LOS RESIDUOS DE CONSTRUCCIÓN Y DEMOLICIÓN DENTRO DE LA OBRA</w:t>
      </w:r>
    </w:p>
    <w:p w14:paraId="3472799F" w14:textId="77777777" w:rsidR="001562A4" w:rsidRPr="001562A4" w:rsidRDefault="001562A4" w:rsidP="001562A4">
      <w:pPr>
        <w:pStyle w:val="Prrafodelista"/>
        <w:spacing w:line="360" w:lineRule="auto"/>
        <w:ind w:left="1440"/>
        <w:rPr>
          <w:rFonts w:cs="Arial"/>
          <w:b/>
          <w:bCs/>
          <w:iCs/>
          <w:caps/>
          <w:sz w:val="20"/>
          <w:szCs w:val="20"/>
        </w:rPr>
      </w:pPr>
    </w:p>
    <w:p w14:paraId="77A7E075" w14:textId="77777777" w:rsidR="002B3498" w:rsidRDefault="002B3498" w:rsidP="002B3498">
      <w:pPr>
        <w:spacing w:line="360" w:lineRule="auto"/>
        <w:rPr>
          <w:rFonts w:cs="Arial"/>
          <w:color w:val="000000"/>
          <w:sz w:val="20"/>
          <w:szCs w:val="20"/>
        </w:rPr>
      </w:pPr>
      <w:r w:rsidRPr="002B3498">
        <w:rPr>
          <w:rFonts w:cs="Arial"/>
          <w:color w:val="000000"/>
          <w:sz w:val="20"/>
          <w:szCs w:val="20"/>
        </w:rPr>
        <w:t>El poseedor de los residuos estará obligado, mientras se encuentren en su poder a:</w:t>
      </w:r>
    </w:p>
    <w:p w14:paraId="26B08588" w14:textId="77777777" w:rsidR="001562A4" w:rsidRPr="002B3498" w:rsidRDefault="001562A4" w:rsidP="002B3498">
      <w:pPr>
        <w:spacing w:line="360" w:lineRule="auto"/>
        <w:rPr>
          <w:rFonts w:cs="Arial"/>
          <w:color w:val="000000"/>
          <w:sz w:val="20"/>
          <w:szCs w:val="20"/>
        </w:rPr>
      </w:pPr>
    </w:p>
    <w:p w14:paraId="7E5AEEEC"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a)</w:t>
      </w:r>
      <w:r w:rsidRPr="002B3498">
        <w:rPr>
          <w:rFonts w:cs="Arial"/>
          <w:color w:val="000000"/>
          <w:sz w:val="20"/>
          <w:szCs w:val="20"/>
        </w:rPr>
        <w:tab/>
        <w:t>Disponer de una zona habilitada e identificada para el correcto almacenamiento de los residuos que reúna las condiciones adecuadas de higiene y seguridad. En el caso de almacenamiento de residuos peligrosos estos deberán estar protegidos de la intemperie y con sistemas de retención de vertidos y derrames.</w:t>
      </w:r>
    </w:p>
    <w:p w14:paraId="018CCED8"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La duración máxima del almacenamiento de los residuos no peligrosos en el lugar de producción será inferior a dos años cuando se destinen a valorización y a un año cuando se destinen a eliminación.</w:t>
      </w:r>
    </w:p>
    <w:p w14:paraId="11E7F8BB"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En el caso de los residuos peligrosos, en ambos supuestos, la duración máxima será de seis meses.</w:t>
      </w:r>
    </w:p>
    <w:p w14:paraId="0B3DE39F"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Los plazos mencionados empezarán a computar desde que se inicie el depósito de residuos en el lugar de almacenamiento debiendo constar la fecha de inicio en el archivo cronológico y también en el sistema de almacenamiento (jaulas, contenedores, estanterías, entre otros) de esos residuos.</w:t>
      </w:r>
    </w:p>
    <w:p w14:paraId="605206E4"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b)</w:t>
      </w:r>
      <w:r w:rsidRPr="002B3498">
        <w:rPr>
          <w:rFonts w:cs="Arial"/>
          <w:color w:val="000000"/>
          <w:sz w:val="20"/>
          <w:szCs w:val="20"/>
        </w:rPr>
        <w:tab/>
        <w:t>Evitar la mezcla de fracciones ya seleccionadas que impida o dificulte su posterior valorización o eliminación.</w:t>
      </w:r>
    </w:p>
    <w:p w14:paraId="45DF3CE5" w14:textId="77777777" w:rsidR="002B3498" w:rsidRPr="002B3498" w:rsidRDefault="002B3498" w:rsidP="002B3498">
      <w:pPr>
        <w:spacing w:line="360" w:lineRule="auto"/>
        <w:rPr>
          <w:rFonts w:cs="Arial"/>
          <w:color w:val="000000"/>
          <w:sz w:val="20"/>
          <w:szCs w:val="20"/>
        </w:rPr>
      </w:pPr>
    </w:p>
    <w:p w14:paraId="202FFA1B"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El depósito temporal para RCD valorizables (maderas, plásticos, chatarra, etc.) que se realice en contenedores o en acopios, se deberá señalizar y segregar del resto de residuos de un modo adecuado.</w:t>
      </w:r>
    </w:p>
    <w:p w14:paraId="6B9A9A46" w14:textId="77777777" w:rsidR="002B3498" w:rsidRDefault="002B3498" w:rsidP="002B3498">
      <w:pPr>
        <w:spacing w:line="360" w:lineRule="auto"/>
        <w:rPr>
          <w:rFonts w:cs="Arial"/>
          <w:color w:val="000000"/>
          <w:sz w:val="20"/>
          <w:szCs w:val="20"/>
        </w:rPr>
      </w:pPr>
      <w:r w:rsidRPr="002B3498">
        <w:rPr>
          <w:rFonts w:cs="Arial"/>
          <w:color w:val="000000"/>
          <w:sz w:val="20"/>
          <w:szCs w:val="20"/>
        </w:rPr>
        <w:t>El depósito temporal de los escombros, se realizará bien en sacos industriales de volumen inferior a 1 m3 o bien en contenedores metálicos específicos con la ubicación y condicionado que establezcan las ordenanzas municipales. Dicho depósito en acopios, también deberá estar en lugares debidamente señalizados y segregados del resto de residuos.</w:t>
      </w:r>
    </w:p>
    <w:p w14:paraId="5CFF71CB" w14:textId="77777777" w:rsidR="001562A4" w:rsidRPr="002B3498" w:rsidRDefault="001562A4" w:rsidP="002B3498">
      <w:pPr>
        <w:spacing w:line="360" w:lineRule="auto"/>
        <w:rPr>
          <w:rFonts w:cs="Arial"/>
          <w:color w:val="000000"/>
          <w:sz w:val="20"/>
          <w:szCs w:val="20"/>
        </w:rPr>
      </w:pPr>
    </w:p>
    <w:p w14:paraId="251D5FAD" w14:textId="77777777" w:rsidR="002B3498" w:rsidRDefault="002B3498" w:rsidP="002B3498">
      <w:pPr>
        <w:spacing w:line="360" w:lineRule="auto"/>
        <w:rPr>
          <w:rFonts w:cs="Arial"/>
          <w:color w:val="000000"/>
          <w:sz w:val="20"/>
          <w:szCs w:val="20"/>
        </w:rPr>
      </w:pPr>
      <w:r w:rsidRPr="002B3498">
        <w:rPr>
          <w:rFonts w:cs="Arial"/>
          <w:color w:val="000000"/>
          <w:sz w:val="20"/>
          <w:szCs w:val="20"/>
        </w:rPr>
        <w:t>Los contenedores deberán estar pintados en colores que destaquen su visibilidad, especialmente durante la noche, y contar con una banda de material reflectante de, al menos, 15 cm. a lo largo de todo su perímetro. En los mismos debe figurar la siguiente información del titular: razón social, CIF, teléfono del titular del contenedor o envase y número de inscripción en el registro de transportistas de residuos.</w:t>
      </w:r>
    </w:p>
    <w:p w14:paraId="4EBD6C36" w14:textId="77777777" w:rsidR="001562A4" w:rsidRPr="002B3498" w:rsidRDefault="001562A4" w:rsidP="002B3498">
      <w:pPr>
        <w:spacing w:line="360" w:lineRule="auto"/>
        <w:rPr>
          <w:rFonts w:cs="Arial"/>
          <w:color w:val="000000"/>
          <w:sz w:val="20"/>
          <w:szCs w:val="20"/>
        </w:rPr>
      </w:pPr>
    </w:p>
    <w:p w14:paraId="72EC2738" w14:textId="77777777" w:rsidR="002B3498" w:rsidRDefault="002B3498" w:rsidP="002B3498">
      <w:pPr>
        <w:spacing w:line="360" w:lineRule="auto"/>
        <w:rPr>
          <w:rFonts w:cs="Arial"/>
          <w:color w:val="000000"/>
          <w:sz w:val="20"/>
          <w:szCs w:val="20"/>
        </w:rPr>
      </w:pPr>
      <w:r w:rsidRPr="002B3498">
        <w:rPr>
          <w:rFonts w:cs="Arial"/>
          <w:color w:val="000000"/>
          <w:sz w:val="20"/>
          <w:szCs w:val="20"/>
        </w:rPr>
        <w:t>El responsable de la obra a la que presta servicio el contenedor adoptará las medidas necesarias para evitar el depósito de residuos ajenos a la misma. Los contenedores permanecerán cerrados o cubiertos, al menos, fuera del horario de trabajo, para evitar el depósito de residuos ajenos a las obras a la que prestan servicio.</w:t>
      </w:r>
    </w:p>
    <w:p w14:paraId="53ED29EF" w14:textId="77777777" w:rsidR="001562A4" w:rsidRPr="002B3498" w:rsidRDefault="001562A4" w:rsidP="002B3498">
      <w:pPr>
        <w:spacing w:line="360" w:lineRule="auto"/>
        <w:rPr>
          <w:rFonts w:cs="Arial"/>
          <w:color w:val="000000"/>
          <w:sz w:val="20"/>
          <w:szCs w:val="20"/>
        </w:rPr>
      </w:pPr>
    </w:p>
    <w:p w14:paraId="68A97219" w14:textId="77777777" w:rsidR="002B3498" w:rsidRDefault="002B3498" w:rsidP="002B3498">
      <w:pPr>
        <w:spacing w:line="360" w:lineRule="auto"/>
        <w:rPr>
          <w:rFonts w:cs="Arial"/>
          <w:color w:val="000000"/>
          <w:sz w:val="20"/>
          <w:szCs w:val="20"/>
        </w:rPr>
      </w:pPr>
      <w:r w:rsidRPr="002B3498">
        <w:rPr>
          <w:rFonts w:cs="Arial"/>
          <w:color w:val="000000"/>
          <w:sz w:val="20"/>
          <w:szCs w:val="20"/>
        </w:rPr>
        <w:lastRenderedPageBreak/>
        <w:t>Los contenedores deben estar etiquetados correctamente, de forma que los trabajadores de la obra conozcan dónde deben depositar los residuos.</w:t>
      </w:r>
    </w:p>
    <w:p w14:paraId="4C6E9941" w14:textId="77777777" w:rsidR="001562A4" w:rsidRPr="002B3498" w:rsidRDefault="001562A4" w:rsidP="002B3498">
      <w:pPr>
        <w:spacing w:line="360" w:lineRule="auto"/>
        <w:rPr>
          <w:rFonts w:cs="Arial"/>
          <w:color w:val="000000"/>
          <w:sz w:val="20"/>
          <w:szCs w:val="20"/>
        </w:rPr>
      </w:pPr>
    </w:p>
    <w:p w14:paraId="478B1282" w14:textId="77777777" w:rsidR="002B3498" w:rsidRDefault="002B3498" w:rsidP="002B3498">
      <w:pPr>
        <w:spacing w:line="360" w:lineRule="auto"/>
        <w:rPr>
          <w:rFonts w:cs="Arial"/>
          <w:color w:val="000000"/>
          <w:sz w:val="20"/>
          <w:szCs w:val="20"/>
        </w:rPr>
      </w:pPr>
      <w:r w:rsidRPr="002B3498">
        <w:rPr>
          <w:rFonts w:cs="Arial"/>
          <w:color w:val="000000"/>
          <w:sz w:val="20"/>
          <w:szCs w:val="20"/>
        </w:rPr>
        <w:t>Para el personal de obra, los cuales están bajo la responsabilidad del Contratista y consecuentemente del Poseedor de los Residuos, estarán obligados a:</w:t>
      </w:r>
    </w:p>
    <w:p w14:paraId="49FA2DE0" w14:textId="77777777" w:rsidR="001562A4" w:rsidRPr="002B3498" w:rsidRDefault="001562A4" w:rsidP="002B3498">
      <w:pPr>
        <w:spacing w:line="360" w:lineRule="auto"/>
        <w:rPr>
          <w:rFonts w:cs="Arial"/>
          <w:color w:val="000000"/>
          <w:sz w:val="20"/>
          <w:szCs w:val="20"/>
        </w:rPr>
      </w:pPr>
    </w:p>
    <w:p w14:paraId="3D51CE82" w14:textId="5D4897FF" w:rsidR="002B3498" w:rsidRPr="001562A4" w:rsidRDefault="002B3498" w:rsidP="001562A4">
      <w:pPr>
        <w:pStyle w:val="Prrafodelista"/>
        <w:numPr>
          <w:ilvl w:val="0"/>
          <w:numId w:val="6"/>
        </w:numPr>
        <w:spacing w:line="360" w:lineRule="auto"/>
        <w:rPr>
          <w:rFonts w:cs="Arial"/>
          <w:color w:val="000000"/>
          <w:sz w:val="20"/>
          <w:szCs w:val="20"/>
        </w:rPr>
      </w:pPr>
      <w:r w:rsidRPr="001562A4">
        <w:rPr>
          <w:rFonts w:cs="Arial"/>
          <w:color w:val="000000"/>
          <w:sz w:val="20"/>
          <w:szCs w:val="20"/>
        </w:rPr>
        <w:t>Etiquetar de forma conveniente cada uno de los contenedores que se van a usar en función de las características de los residuos que se depositarán.</w:t>
      </w:r>
    </w:p>
    <w:p w14:paraId="066C1D6F" w14:textId="66E7C075" w:rsidR="002B3498" w:rsidRPr="001562A4" w:rsidRDefault="002B3498" w:rsidP="001562A4">
      <w:pPr>
        <w:pStyle w:val="Prrafodelista"/>
        <w:numPr>
          <w:ilvl w:val="0"/>
          <w:numId w:val="6"/>
        </w:numPr>
        <w:spacing w:line="360" w:lineRule="auto"/>
        <w:rPr>
          <w:rFonts w:cs="Arial"/>
          <w:color w:val="000000"/>
          <w:sz w:val="20"/>
          <w:szCs w:val="20"/>
        </w:rPr>
      </w:pPr>
      <w:r w:rsidRPr="001562A4">
        <w:rPr>
          <w:rFonts w:cs="Arial"/>
          <w:color w:val="000000"/>
          <w:sz w:val="20"/>
          <w:szCs w:val="20"/>
        </w:rPr>
        <w:t>Las etiquetas deben informar sobre qué materiales pueden, o no, almacenarse en cada recipiente. La información debe ser clara y comprensible.</w:t>
      </w:r>
    </w:p>
    <w:p w14:paraId="7CB1D462" w14:textId="68FDC867" w:rsidR="002B3498" w:rsidRPr="001562A4" w:rsidRDefault="002B3498" w:rsidP="001562A4">
      <w:pPr>
        <w:pStyle w:val="Prrafodelista"/>
        <w:numPr>
          <w:ilvl w:val="0"/>
          <w:numId w:val="6"/>
        </w:numPr>
        <w:spacing w:line="360" w:lineRule="auto"/>
        <w:rPr>
          <w:rFonts w:cs="Arial"/>
          <w:color w:val="000000"/>
          <w:sz w:val="20"/>
          <w:szCs w:val="20"/>
        </w:rPr>
      </w:pPr>
      <w:r w:rsidRPr="001562A4">
        <w:rPr>
          <w:rFonts w:cs="Arial"/>
          <w:color w:val="000000"/>
          <w:sz w:val="20"/>
          <w:szCs w:val="20"/>
        </w:rPr>
        <w:t>Las etiquetas deben ser de gran formato y resistentes al agua.</w:t>
      </w:r>
    </w:p>
    <w:p w14:paraId="4D2DA21F" w14:textId="36130336" w:rsidR="002B3498" w:rsidRPr="001562A4" w:rsidRDefault="002B3498" w:rsidP="001562A4">
      <w:pPr>
        <w:pStyle w:val="Prrafodelista"/>
        <w:numPr>
          <w:ilvl w:val="0"/>
          <w:numId w:val="6"/>
        </w:numPr>
        <w:spacing w:line="360" w:lineRule="auto"/>
        <w:rPr>
          <w:rFonts w:cs="Arial"/>
          <w:color w:val="000000"/>
          <w:sz w:val="20"/>
          <w:szCs w:val="20"/>
        </w:rPr>
      </w:pPr>
      <w:r w:rsidRPr="001562A4">
        <w:rPr>
          <w:rFonts w:cs="Arial"/>
          <w:color w:val="000000"/>
          <w:sz w:val="20"/>
          <w:szCs w:val="20"/>
        </w:rPr>
        <w:t>Utilizar siempre el contenedor apropiado para cada residuo. Las etiquetas se colocan para facilitar la correcta separación de los mismos.</w:t>
      </w:r>
    </w:p>
    <w:p w14:paraId="6AB1561A" w14:textId="1C2C5E7B" w:rsidR="002B3498" w:rsidRPr="001562A4" w:rsidRDefault="002B3498" w:rsidP="001562A4">
      <w:pPr>
        <w:pStyle w:val="Prrafodelista"/>
        <w:numPr>
          <w:ilvl w:val="0"/>
          <w:numId w:val="6"/>
        </w:numPr>
        <w:spacing w:line="360" w:lineRule="auto"/>
        <w:rPr>
          <w:rFonts w:cs="Arial"/>
          <w:color w:val="000000"/>
          <w:sz w:val="20"/>
          <w:szCs w:val="20"/>
        </w:rPr>
      </w:pPr>
      <w:r w:rsidRPr="001562A4">
        <w:rPr>
          <w:rFonts w:cs="Arial"/>
          <w:color w:val="000000"/>
          <w:sz w:val="20"/>
          <w:szCs w:val="20"/>
        </w:rPr>
        <w:t>Separar los residuos a medida que son generados para que no se mezclen con otros y resulten contaminados.</w:t>
      </w:r>
    </w:p>
    <w:p w14:paraId="3041114B" w14:textId="385D1645" w:rsidR="002B3498" w:rsidRPr="001562A4" w:rsidRDefault="002B3498" w:rsidP="001562A4">
      <w:pPr>
        <w:pStyle w:val="Prrafodelista"/>
        <w:numPr>
          <w:ilvl w:val="0"/>
          <w:numId w:val="6"/>
        </w:numPr>
        <w:spacing w:line="360" w:lineRule="auto"/>
        <w:rPr>
          <w:rFonts w:cs="Arial"/>
          <w:color w:val="000000"/>
          <w:sz w:val="20"/>
          <w:szCs w:val="20"/>
        </w:rPr>
      </w:pPr>
      <w:r w:rsidRPr="001562A4">
        <w:rPr>
          <w:rFonts w:cs="Arial"/>
          <w:color w:val="000000"/>
          <w:sz w:val="20"/>
          <w:szCs w:val="20"/>
        </w:rPr>
        <w:t xml:space="preserve">No colocar </w:t>
      </w:r>
      <w:proofErr w:type="gramStart"/>
      <w:r w:rsidRPr="001562A4">
        <w:rPr>
          <w:rFonts w:cs="Arial"/>
          <w:color w:val="000000"/>
          <w:sz w:val="20"/>
          <w:szCs w:val="20"/>
        </w:rPr>
        <w:t>residuos apilados y mal protegidos</w:t>
      </w:r>
      <w:proofErr w:type="gramEnd"/>
      <w:r w:rsidRPr="001562A4">
        <w:rPr>
          <w:rFonts w:cs="Arial"/>
          <w:color w:val="000000"/>
          <w:sz w:val="20"/>
          <w:szCs w:val="20"/>
        </w:rPr>
        <w:t xml:space="preserve"> alrededor de la obra ya que, si se tropieza con ellos o quedan extendidos sin control, pueden ser causa de accidentes.</w:t>
      </w:r>
    </w:p>
    <w:p w14:paraId="4B4128A9" w14:textId="6ED7CDA4" w:rsidR="002B3498" w:rsidRPr="001562A4" w:rsidRDefault="002B3498" w:rsidP="001562A4">
      <w:pPr>
        <w:pStyle w:val="Prrafodelista"/>
        <w:numPr>
          <w:ilvl w:val="0"/>
          <w:numId w:val="6"/>
        </w:numPr>
        <w:spacing w:line="360" w:lineRule="auto"/>
        <w:rPr>
          <w:rFonts w:cs="Arial"/>
          <w:color w:val="000000"/>
          <w:sz w:val="20"/>
          <w:szCs w:val="20"/>
        </w:rPr>
      </w:pPr>
      <w:r w:rsidRPr="001562A4">
        <w:rPr>
          <w:rFonts w:cs="Arial"/>
          <w:color w:val="000000"/>
          <w:sz w:val="20"/>
          <w:szCs w:val="20"/>
        </w:rPr>
        <w:t>Nunca sobrecargar los contenedores destinados al transporte. Son más difíciles de maniobrar y transportar, y dan lugar a que caigan residuos, que no acostumbran a ser recogidos del suelo.</w:t>
      </w:r>
    </w:p>
    <w:p w14:paraId="1DC1C100" w14:textId="63A77B99" w:rsidR="002B3498" w:rsidRPr="001562A4" w:rsidRDefault="002B3498" w:rsidP="001562A4">
      <w:pPr>
        <w:pStyle w:val="Prrafodelista"/>
        <w:numPr>
          <w:ilvl w:val="0"/>
          <w:numId w:val="6"/>
        </w:numPr>
        <w:spacing w:line="360" w:lineRule="auto"/>
        <w:rPr>
          <w:rFonts w:cs="Arial"/>
          <w:color w:val="000000"/>
          <w:sz w:val="20"/>
          <w:szCs w:val="20"/>
        </w:rPr>
      </w:pPr>
      <w:r w:rsidRPr="001562A4">
        <w:rPr>
          <w:rFonts w:cs="Arial"/>
          <w:color w:val="000000"/>
          <w:sz w:val="20"/>
          <w:szCs w:val="20"/>
        </w:rPr>
        <w:t>Los contenedores deben salir de la obra perfectamente cubiertos. No se debe permitir que la abandonen sin estarlo porque pueden originar accidentes durante el transporte.</w:t>
      </w:r>
    </w:p>
    <w:p w14:paraId="2D15DC2B" w14:textId="44CA0885" w:rsidR="002B3498" w:rsidRPr="001562A4" w:rsidRDefault="002B3498" w:rsidP="001562A4">
      <w:pPr>
        <w:pStyle w:val="Prrafodelista"/>
        <w:numPr>
          <w:ilvl w:val="0"/>
          <w:numId w:val="6"/>
        </w:numPr>
        <w:spacing w:line="360" w:lineRule="auto"/>
        <w:rPr>
          <w:rFonts w:cs="Arial"/>
          <w:color w:val="000000"/>
          <w:sz w:val="20"/>
          <w:szCs w:val="20"/>
        </w:rPr>
      </w:pPr>
      <w:r w:rsidRPr="001562A4">
        <w:rPr>
          <w:rFonts w:cs="Arial"/>
          <w:color w:val="000000"/>
          <w:sz w:val="20"/>
          <w:szCs w:val="20"/>
        </w:rPr>
        <w:t>Para una gestión más eficiente, se deben proponer ideas referidas a cómo reducir, reutilizar o reciclar los residuos producidos en la obra.</w:t>
      </w:r>
    </w:p>
    <w:p w14:paraId="3AAC15D1" w14:textId="7EB72720" w:rsidR="002B3498" w:rsidRPr="001562A4" w:rsidRDefault="002B3498" w:rsidP="001562A4">
      <w:pPr>
        <w:pStyle w:val="Prrafodelista"/>
        <w:numPr>
          <w:ilvl w:val="0"/>
          <w:numId w:val="6"/>
        </w:numPr>
        <w:spacing w:line="360" w:lineRule="auto"/>
        <w:rPr>
          <w:rFonts w:cs="Arial"/>
          <w:color w:val="000000"/>
          <w:sz w:val="20"/>
          <w:szCs w:val="20"/>
        </w:rPr>
      </w:pPr>
      <w:r w:rsidRPr="001562A4">
        <w:rPr>
          <w:rFonts w:cs="Arial"/>
          <w:color w:val="000000"/>
          <w:sz w:val="20"/>
          <w:szCs w:val="20"/>
        </w:rPr>
        <w:t>Las buenas ideas deben comunicarse a los gestores de los residuos de la obra para que las apliquen y las compartan con el resto del personal.</w:t>
      </w:r>
    </w:p>
    <w:p w14:paraId="76CDD59A" w14:textId="77777777" w:rsidR="002B3498" w:rsidRPr="001562A4" w:rsidRDefault="002B3498" w:rsidP="001562A4">
      <w:pPr>
        <w:pStyle w:val="Prrafodelista"/>
        <w:numPr>
          <w:ilvl w:val="0"/>
          <w:numId w:val="6"/>
        </w:numPr>
        <w:spacing w:line="360" w:lineRule="auto"/>
        <w:rPr>
          <w:rFonts w:cs="Arial"/>
          <w:color w:val="000000"/>
          <w:sz w:val="20"/>
          <w:szCs w:val="20"/>
        </w:rPr>
      </w:pPr>
      <w:r w:rsidRPr="001562A4">
        <w:rPr>
          <w:rFonts w:cs="Arial"/>
          <w:color w:val="000000"/>
          <w:sz w:val="20"/>
          <w:szCs w:val="20"/>
        </w:rPr>
        <w:t>Es obligación del Contratista mantener limpias las obras y sus alrededores tanto de escombros como de materiales sobrantes, retirar las instalaciones provisionales que no sean necesarias, así como ejecutar todos los trabajos y adoptar las medidas que sean apropiadas para que la obra presente buen aspecto.</w:t>
      </w:r>
    </w:p>
    <w:p w14:paraId="51887D9D" w14:textId="77777777" w:rsidR="002B3498" w:rsidRPr="002B3498" w:rsidRDefault="002B3498" w:rsidP="002B3498">
      <w:pPr>
        <w:spacing w:line="360" w:lineRule="auto"/>
        <w:rPr>
          <w:rFonts w:cs="Arial"/>
          <w:color w:val="000000"/>
          <w:sz w:val="20"/>
          <w:szCs w:val="20"/>
        </w:rPr>
      </w:pPr>
    </w:p>
    <w:p w14:paraId="7C47D5DC" w14:textId="6544A264" w:rsidR="002B3498" w:rsidRDefault="002B3498" w:rsidP="00206D99">
      <w:pPr>
        <w:pStyle w:val="Ttulo2"/>
        <w:numPr>
          <w:ilvl w:val="1"/>
          <w:numId w:val="3"/>
        </w:numPr>
      </w:pPr>
      <w:r w:rsidRPr="001562A4">
        <w:t>MANEJO DE LOS RESIDUOS DE CONSTRUCCIÓN Y DEMOLICIÓN DENTRO DE LA OBRA</w:t>
      </w:r>
    </w:p>
    <w:p w14:paraId="1D879B22" w14:textId="77777777" w:rsidR="00206D99" w:rsidRPr="00206D99" w:rsidRDefault="00206D99" w:rsidP="00206D99"/>
    <w:p w14:paraId="6AE4535A" w14:textId="77777777" w:rsidR="002B3498" w:rsidRDefault="002B3498" w:rsidP="002B3498">
      <w:pPr>
        <w:spacing w:line="360" w:lineRule="auto"/>
        <w:rPr>
          <w:rFonts w:cs="Arial"/>
          <w:color w:val="000000"/>
          <w:sz w:val="20"/>
          <w:szCs w:val="20"/>
        </w:rPr>
      </w:pPr>
      <w:r w:rsidRPr="002B3498">
        <w:rPr>
          <w:rFonts w:cs="Arial"/>
          <w:color w:val="000000"/>
          <w:sz w:val="20"/>
          <w:szCs w:val="20"/>
        </w:rPr>
        <w:t>Se evitará en todo momento la contaminación con productos tóxicos o peligrosos de los plásticos y restos de madera para su adecuada segregación, así como la contaminación de los acopios o contenedores de escombros con componentes peligrosos.</w:t>
      </w:r>
    </w:p>
    <w:p w14:paraId="765731FA" w14:textId="77777777" w:rsidR="00206D99" w:rsidRPr="002B3498" w:rsidRDefault="00206D99" w:rsidP="002B3498">
      <w:pPr>
        <w:spacing w:line="360" w:lineRule="auto"/>
        <w:rPr>
          <w:rFonts w:cs="Arial"/>
          <w:color w:val="000000"/>
          <w:sz w:val="20"/>
          <w:szCs w:val="20"/>
        </w:rPr>
      </w:pPr>
    </w:p>
    <w:p w14:paraId="545E9C67"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Las tierras superficiales que puedan tener un uso posterior para jardinería o recuperación de suelos degradados, será retirada y almacenada durante el menor tiempo posible, en caballones de altura no superior a 2 metros. Se evitará la humedad excesiva, la manipulación, y la contaminación con otros materiales.</w:t>
      </w:r>
    </w:p>
    <w:p w14:paraId="4CA30D3C" w14:textId="77777777" w:rsidR="002B3498" w:rsidRPr="002B3498" w:rsidRDefault="002B3498" w:rsidP="002B3498">
      <w:pPr>
        <w:spacing w:line="360" w:lineRule="auto"/>
        <w:rPr>
          <w:rFonts w:cs="Arial"/>
          <w:color w:val="000000"/>
          <w:sz w:val="20"/>
          <w:szCs w:val="20"/>
        </w:rPr>
      </w:pPr>
    </w:p>
    <w:p w14:paraId="263F8D44" w14:textId="22DD4408" w:rsidR="002B3498" w:rsidRDefault="002B3498" w:rsidP="00206D99">
      <w:pPr>
        <w:pStyle w:val="Ttulo2"/>
        <w:numPr>
          <w:ilvl w:val="1"/>
          <w:numId w:val="3"/>
        </w:numPr>
      </w:pPr>
      <w:r w:rsidRPr="00206D99">
        <w:t>OTRAS OPERACIONES DE GESTIÓN DE RESIDUOS DE CONSTRUCCIÓN Y DEMOLICIÓN DENTRO DE LA OBRA.</w:t>
      </w:r>
    </w:p>
    <w:p w14:paraId="0A2540BB" w14:textId="77777777" w:rsidR="00206D99" w:rsidRPr="00206D99" w:rsidRDefault="00206D99" w:rsidP="00206D99"/>
    <w:p w14:paraId="6F1B34B4" w14:textId="77777777" w:rsidR="002B3498" w:rsidRDefault="002B3498" w:rsidP="002B3498">
      <w:pPr>
        <w:spacing w:line="360" w:lineRule="auto"/>
        <w:rPr>
          <w:rFonts w:cs="Arial"/>
          <w:color w:val="000000"/>
          <w:sz w:val="20"/>
          <w:szCs w:val="20"/>
        </w:rPr>
      </w:pPr>
      <w:r w:rsidRPr="002B3498">
        <w:rPr>
          <w:rFonts w:cs="Arial"/>
          <w:color w:val="000000"/>
          <w:sz w:val="20"/>
          <w:szCs w:val="20"/>
        </w:rPr>
        <w:t>El poseedor de residuos de construcción y demolición, cuando no proceda a gestionarlos por sí mismo, estará obligado a entregarlos a un gestor de residuos o a participar en un acuerdo voluntario o convenio de colaboración para su gestión. Los residuos de construcción y demolición se destinarán preferentemente, y por este orden, a operaciones de reutilización, reciclado o a otras formas de valorización.</w:t>
      </w:r>
    </w:p>
    <w:p w14:paraId="5230F19E" w14:textId="77777777" w:rsidR="00206D99" w:rsidRPr="002B3498" w:rsidRDefault="00206D99" w:rsidP="002B3498">
      <w:pPr>
        <w:spacing w:line="360" w:lineRule="auto"/>
        <w:rPr>
          <w:rFonts w:cs="Arial"/>
          <w:color w:val="000000"/>
          <w:sz w:val="20"/>
          <w:szCs w:val="20"/>
        </w:rPr>
      </w:pPr>
    </w:p>
    <w:p w14:paraId="01C1D6C7" w14:textId="77777777" w:rsidR="002B3498" w:rsidRDefault="002B3498" w:rsidP="002B3498">
      <w:pPr>
        <w:spacing w:line="360" w:lineRule="auto"/>
        <w:rPr>
          <w:rFonts w:cs="Arial"/>
          <w:color w:val="000000"/>
          <w:sz w:val="20"/>
          <w:szCs w:val="20"/>
        </w:rPr>
      </w:pPr>
      <w:r w:rsidRPr="002B3498">
        <w:rPr>
          <w:rFonts w:cs="Arial"/>
          <w:color w:val="000000"/>
          <w:sz w:val="20"/>
          <w:szCs w:val="20"/>
        </w:rPr>
        <w:t>La entrega de los residuos de construcción y demolición a un gestor por parte del poseedor habrá de constar en documento fehaciente, en el que figure, al menos, la identificación del poseedor y del productor, la obra de procedencia y, en su caso, el número de licencia de la obra, la cantidad, expresada en toneladas o en metros cúbicos, o en ambas unidades cuando sea posible, el tipo de residuos entregados, codificados con arreglo a la lista europea de residuos y la identificación del gestor de las operaciones de destino.</w:t>
      </w:r>
    </w:p>
    <w:p w14:paraId="3AB21044" w14:textId="77777777" w:rsidR="00206D99" w:rsidRPr="002B3498" w:rsidRDefault="00206D99" w:rsidP="002B3498">
      <w:pPr>
        <w:spacing w:line="360" w:lineRule="auto"/>
        <w:rPr>
          <w:rFonts w:cs="Arial"/>
          <w:color w:val="000000"/>
          <w:sz w:val="20"/>
          <w:szCs w:val="20"/>
        </w:rPr>
      </w:pPr>
    </w:p>
    <w:p w14:paraId="04594DAA" w14:textId="77777777" w:rsidR="002B3498" w:rsidRDefault="002B3498" w:rsidP="002B3498">
      <w:pPr>
        <w:spacing w:line="360" w:lineRule="auto"/>
        <w:rPr>
          <w:rFonts w:cs="Arial"/>
          <w:color w:val="000000"/>
          <w:sz w:val="20"/>
          <w:szCs w:val="20"/>
        </w:rPr>
      </w:pPr>
      <w:r w:rsidRPr="002B3498">
        <w:rPr>
          <w:rFonts w:cs="Arial"/>
          <w:color w:val="000000"/>
          <w:sz w:val="20"/>
          <w:szCs w:val="20"/>
        </w:rPr>
        <w:t>Cuando el gestor al que el poseedor entregue los residuos de construcción y demolición efectúe únicamente operaciones de recogida, almacenamiento, transferencia o transporte, en el documento de entrega deberá figurar también el gestor de valorización o de eliminación ulterior al que se destinarán los residuos.</w:t>
      </w:r>
    </w:p>
    <w:p w14:paraId="5C26E0AF" w14:textId="77777777" w:rsidR="00206D99" w:rsidRPr="002B3498" w:rsidRDefault="00206D99" w:rsidP="002B3498">
      <w:pPr>
        <w:spacing w:line="360" w:lineRule="auto"/>
        <w:rPr>
          <w:rFonts w:cs="Arial"/>
          <w:color w:val="000000"/>
          <w:sz w:val="20"/>
          <w:szCs w:val="20"/>
        </w:rPr>
      </w:pPr>
    </w:p>
    <w:p w14:paraId="71051D2B" w14:textId="77777777" w:rsidR="002B3498" w:rsidRDefault="002B3498" w:rsidP="002B3498">
      <w:pPr>
        <w:spacing w:line="360" w:lineRule="auto"/>
        <w:rPr>
          <w:rFonts w:cs="Arial"/>
          <w:color w:val="000000"/>
          <w:sz w:val="20"/>
          <w:szCs w:val="20"/>
        </w:rPr>
      </w:pPr>
      <w:r w:rsidRPr="002B3498">
        <w:rPr>
          <w:rFonts w:cs="Arial"/>
          <w:color w:val="000000"/>
          <w:sz w:val="20"/>
          <w:szCs w:val="20"/>
        </w:rPr>
        <w:t>Se prohíbe el depósito en vertedero de residuos de construcción y demolición que no hayan sido sometidos a alguna operación de tratamiento previo.</w:t>
      </w:r>
    </w:p>
    <w:p w14:paraId="5A868D90" w14:textId="77777777" w:rsidR="00206D99" w:rsidRPr="002B3498" w:rsidRDefault="00206D99" w:rsidP="002B3498">
      <w:pPr>
        <w:spacing w:line="360" w:lineRule="auto"/>
        <w:rPr>
          <w:rFonts w:cs="Arial"/>
          <w:color w:val="000000"/>
          <w:sz w:val="20"/>
          <w:szCs w:val="20"/>
        </w:rPr>
      </w:pPr>
    </w:p>
    <w:p w14:paraId="6C3CE41C" w14:textId="77777777" w:rsidR="002B3498" w:rsidRDefault="002B3498" w:rsidP="002B3498">
      <w:pPr>
        <w:spacing w:line="360" w:lineRule="auto"/>
        <w:rPr>
          <w:rFonts w:cs="Arial"/>
          <w:color w:val="000000"/>
          <w:sz w:val="20"/>
          <w:szCs w:val="20"/>
        </w:rPr>
      </w:pPr>
      <w:r w:rsidRPr="002B3498">
        <w:rPr>
          <w:rFonts w:cs="Arial"/>
          <w:color w:val="000000"/>
          <w:sz w:val="20"/>
          <w:szCs w:val="20"/>
        </w:rPr>
        <w:t>El poseedor de los residuos, deberá sufragar los costes de gestión, y entregar al Productor (Promotor), los certificados y demás documentación acreditativa.</w:t>
      </w:r>
    </w:p>
    <w:p w14:paraId="76F1AE0B" w14:textId="77777777" w:rsidR="00206D99" w:rsidRPr="002B3498" w:rsidRDefault="00206D99" w:rsidP="002B3498">
      <w:pPr>
        <w:spacing w:line="360" w:lineRule="auto"/>
        <w:rPr>
          <w:rFonts w:cs="Arial"/>
          <w:color w:val="000000"/>
          <w:sz w:val="20"/>
          <w:szCs w:val="20"/>
        </w:rPr>
      </w:pPr>
    </w:p>
    <w:p w14:paraId="7707EDA5"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Es obligación del contratista proporcionar a la Dirección Facultativa de la obra y a la Propiedad los certificados de los contenedores empleados así como de los puntos de vertido final, ambos emitidos por entidades autorizadas y homologadas.</w:t>
      </w:r>
    </w:p>
    <w:p w14:paraId="0634CD4E" w14:textId="77777777" w:rsidR="002B3498" w:rsidRDefault="002B3498" w:rsidP="002B3498">
      <w:pPr>
        <w:spacing w:line="360" w:lineRule="auto"/>
        <w:rPr>
          <w:rFonts w:cs="Arial"/>
          <w:color w:val="000000"/>
          <w:sz w:val="20"/>
          <w:szCs w:val="20"/>
        </w:rPr>
      </w:pPr>
    </w:p>
    <w:p w14:paraId="30AEC8F1" w14:textId="77777777" w:rsidR="00206D99" w:rsidRPr="002B3498" w:rsidRDefault="00206D99" w:rsidP="002B3498">
      <w:pPr>
        <w:spacing w:line="360" w:lineRule="auto"/>
        <w:rPr>
          <w:rFonts w:cs="Arial"/>
          <w:color w:val="000000"/>
          <w:sz w:val="20"/>
          <w:szCs w:val="20"/>
        </w:rPr>
      </w:pPr>
    </w:p>
    <w:p w14:paraId="32B4CE47" w14:textId="77777777" w:rsidR="002B3498" w:rsidRPr="00362CDD" w:rsidRDefault="002B3498" w:rsidP="001562A4">
      <w:pPr>
        <w:pStyle w:val="Prrafodelista"/>
        <w:widowControl/>
        <w:numPr>
          <w:ilvl w:val="0"/>
          <w:numId w:val="3"/>
        </w:numPr>
        <w:spacing w:line="360" w:lineRule="auto"/>
        <w:contextualSpacing/>
        <w:rPr>
          <w:rFonts w:cs="Arial"/>
          <w:b/>
          <w:bCs/>
          <w:caps/>
          <w:u w:val="single"/>
        </w:rPr>
      </w:pPr>
      <w:r w:rsidRPr="00362CDD">
        <w:rPr>
          <w:rFonts w:cs="Arial"/>
          <w:b/>
          <w:bCs/>
          <w:caps/>
          <w:u w:val="single"/>
        </w:rPr>
        <w:t>VALORACIÓN DEL COSTE PREVISTO EN LA GESTIÓN DE RESIDUOS</w:t>
      </w:r>
    </w:p>
    <w:p w14:paraId="5D5A4252" w14:textId="77777777" w:rsidR="002B3498" w:rsidRPr="002B3498" w:rsidRDefault="002B3498" w:rsidP="002B3498">
      <w:pPr>
        <w:spacing w:line="360" w:lineRule="auto"/>
        <w:rPr>
          <w:rFonts w:cs="Arial"/>
          <w:color w:val="000000"/>
          <w:sz w:val="20"/>
          <w:szCs w:val="20"/>
        </w:rPr>
      </w:pPr>
    </w:p>
    <w:p w14:paraId="6AAF3D65"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 xml:space="preserve">El coste previsto para la gestión de los residuos de construcción y demolición de la obra correspondiente al Proyecto “RESTAURACIÓN AMBIENTAL Y URBANA DE LOS SUELOS DEGRADADOS DE LOS ANTIGUOS DEPÓSITOS DE AGUA EN TUDELA (NAVARRA)" Incluido el alquiler de contenedores, costes de transporte, tasas y cánones de vertido aplicables </w:t>
      </w:r>
      <w:proofErr w:type="spellStart"/>
      <w:r w:rsidRPr="002B3498">
        <w:rPr>
          <w:rFonts w:cs="Arial"/>
          <w:color w:val="000000"/>
          <w:sz w:val="20"/>
          <w:szCs w:val="20"/>
        </w:rPr>
        <w:t>asi</w:t>
      </w:r>
      <w:proofErr w:type="spellEnd"/>
      <w:r w:rsidRPr="002B3498">
        <w:rPr>
          <w:rFonts w:cs="Arial"/>
          <w:color w:val="000000"/>
          <w:sz w:val="20"/>
          <w:szCs w:val="20"/>
        </w:rPr>
        <w:t xml:space="preserve"> como la gestión de los mismos, es:</w:t>
      </w:r>
    </w:p>
    <w:p w14:paraId="5FD34453" w14:textId="77777777" w:rsidR="002B3498" w:rsidRDefault="002B3498" w:rsidP="002B3498">
      <w:pPr>
        <w:spacing w:line="360" w:lineRule="auto"/>
        <w:rPr>
          <w:rFonts w:cs="Arial"/>
          <w:color w:val="000000"/>
          <w:sz w:val="20"/>
          <w:szCs w:val="20"/>
        </w:rPr>
      </w:pPr>
      <w:r w:rsidRPr="002B3498">
        <w:rPr>
          <w:noProof/>
          <w:sz w:val="20"/>
          <w:szCs w:val="20"/>
        </w:rPr>
        <w:lastRenderedPageBreak/>
        <w:drawing>
          <wp:anchor distT="0" distB="0" distL="114300" distR="114300" simplePos="0" relativeHeight="251660288" behindDoc="1" locked="0" layoutInCell="1" allowOverlap="1" wp14:anchorId="1E9538CD" wp14:editId="4D9FFF3C">
            <wp:simplePos x="0" y="0"/>
            <wp:positionH relativeFrom="column">
              <wp:posOffset>-2540</wp:posOffset>
            </wp:positionH>
            <wp:positionV relativeFrom="paragraph">
              <wp:posOffset>2910840</wp:posOffset>
            </wp:positionV>
            <wp:extent cx="6916420" cy="2743200"/>
            <wp:effectExtent l="19050" t="0" r="0" b="0"/>
            <wp:wrapTight wrapText="bothSides">
              <wp:wrapPolygon edited="0">
                <wp:start x="-59" y="150"/>
                <wp:lineTo x="-59" y="4500"/>
                <wp:lineTo x="2261" y="4950"/>
                <wp:lineTo x="10768" y="4950"/>
                <wp:lineTo x="0" y="5700"/>
                <wp:lineTo x="0" y="8850"/>
                <wp:lineTo x="10768" y="9750"/>
                <wp:lineTo x="-59" y="10050"/>
                <wp:lineTo x="-59" y="16950"/>
                <wp:lineTo x="10768" y="16950"/>
                <wp:lineTo x="297" y="17100"/>
                <wp:lineTo x="-59" y="17100"/>
                <wp:lineTo x="-59" y="21150"/>
                <wp:lineTo x="21596" y="21150"/>
                <wp:lineTo x="21596" y="17100"/>
                <wp:lineTo x="21239" y="17100"/>
                <wp:lineTo x="10768" y="16950"/>
                <wp:lineTo x="21596" y="16950"/>
                <wp:lineTo x="21596" y="10050"/>
                <wp:lineTo x="10768" y="9750"/>
                <wp:lineTo x="21537" y="9000"/>
                <wp:lineTo x="21596" y="7650"/>
                <wp:lineTo x="21596" y="7350"/>
                <wp:lineTo x="21537" y="5700"/>
                <wp:lineTo x="10768" y="4950"/>
                <wp:lineTo x="19276" y="4950"/>
                <wp:lineTo x="21596" y="4500"/>
                <wp:lineTo x="21596" y="150"/>
                <wp:lineTo x="-59" y="150"/>
              </wp:wrapPolygon>
            </wp:wrapTight>
            <wp:docPr id="4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6916420" cy="2743200"/>
                    </a:xfrm>
                    <a:prstGeom prst="rect">
                      <a:avLst/>
                    </a:prstGeom>
                    <a:noFill/>
                    <a:ln w="9525">
                      <a:noFill/>
                      <a:miter lim="800000"/>
                      <a:headEnd/>
                      <a:tailEnd/>
                    </a:ln>
                  </pic:spPr>
                </pic:pic>
              </a:graphicData>
            </a:graphic>
          </wp:anchor>
        </w:drawing>
      </w:r>
      <w:r w:rsidRPr="002B3498">
        <w:rPr>
          <w:noProof/>
          <w:sz w:val="20"/>
          <w:szCs w:val="20"/>
        </w:rPr>
        <w:drawing>
          <wp:inline distT="0" distB="0" distL="0" distR="0" wp14:anchorId="6605DD26" wp14:editId="7513BA9D">
            <wp:extent cx="6286500" cy="2734977"/>
            <wp:effectExtent l="0" t="0" r="0" b="8255"/>
            <wp:docPr id="48"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cstate="print"/>
                    <a:srcRect t="5385" r="2417" b="64531"/>
                    <a:stretch>
                      <a:fillRect/>
                    </a:stretch>
                  </pic:blipFill>
                  <pic:spPr bwMode="auto">
                    <a:xfrm>
                      <a:off x="0" y="0"/>
                      <a:ext cx="6301172" cy="2741360"/>
                    </a:xfrm>
                    <a:prstGeom prst="rect">
                      <a:avLst/>
                    </a:prstGeom>
                    <a:noFill/>
                    <a:ln w="9525">
                      <a:noFill/>
                      <a:miter lim="800000"/>
                      <a:headEnd/>
                      <a:tailEnd/>
                    </a:ln>
                  </pic:spPr>
                </pic:pic>
              </a:graphicData>
            </a:graphic>
          </wp:inline>
        </w:drawing>
      </w:r>
    </w:p>
    <w:p w14:paraId="10EB1DBD" w14:textId="77777777" w:rsidR="00206D99" w:rsidRPr="002B3498" w:rsidRDefault="00206D99" w:rsidP="002B3498">
      <w:pPr>
        <w:spacing w:line="360" w:lineRule="auto"/>
        <w:rPr>
          <w:rFonts w:cs="Arial"/>
          <w:color w:val="000000"/>
          <w:sz w:val="20"/>
          <w:szCs w:val="20"/>
        </w:rPr>
      </w:pPr>
    </w:p>
    <w:p w14:paraId="453BFA98" w14:textId="77777777" w:rsidR="002B3498" w:rsidRPr="002B3498" w:rsidRDefault="002B3498" w:rsidP="002B3498">
      <w:pPr>
        <w:spacing w:line="360" w:lineRule="auto"/>
        <w:rPr>
          <w:rFonts w:cs="Arial"/>
          <w:color w:val="000000"/>
          <w:sz w:val="20"/>
          <w:szCs w:val="20"/>
        </w:rPr>
      </w:pPr>
      <w:bookmarkStart w:id="0" w:name="_GoBack"/>
      <w:bookmarkEnd w:id="0"/>
      <w:r w:rsidRPr="002B3498">
        <w:rPr>
          <w:rFonts w:cs="Arial"/>
          <w:color w:val="000000"/>
          <w:sz w:val="20"/>
          <w:szCs w:val="20"/>
        </w:rPr>
        <w:t>NOTA: unidades m3, precios en €, IMPORTES CALCULADOS PARA EJECUCIÓN MATERIAL (PEM), sin GG+BI y sin IVA.</w:t>
      </w:r>
    </w:p>
    <w:p w14:paraId="29096F63" w14:textId="77777777" w:rsidR="002B3498" w:rsidRPr="002B3498" w:rsidRDefault="002B3498" w:rsidP="002B3498">
      <w:pPr>
        <w:spacing w:line="360" w:lineRule="auto"/>
        <w:rPr>
          <w:rFonts w:cs="Arial"/>
          <w:color w:val="000000"/>
          <w:sz w:val="20"/>
          <w:szCs w:val="20"/>
        </w:rPr>
      </w:pPr>
    </w:p>
    <w:p w14:paraId="6A02FE75" w14:textId="77777777" w:rsidR="002B3498" w:rsidRPr="002B3498" w:rsidRDefault="002B3498" w:rsidP="002B3498">
      <w:pPr>
        <w:spacing w:line="360" w:lineRule="auto"/>
        <w:rPr>
          <w:rFonts w:cs="Arial"/>
          <w:color w:val="000000"/>
          <w:sz w:val="20"/>
          <w:szCs w:val="20"/>
        </w:rPr>
      </w:pPr>
      <w:r w:rsidRPr="002B3498">
        <w:rPr>
          <w:rFonts w:cs="Arial"/>
          <w:color w:val="000000"/>
          <w:sz w:val="20"/>
          <w:szCs w:val="20"/>
        </w:rPr>
        <w:t>El total asciende en (PEM) a SEIS MIL CIENTO NUEVE EUROS CON QUINCE CÉNTIMOS DE EURO (6.109,15€)</w:t>
      </w:r>
    </w:p>
    <w:p w14:paraId="0FE8B203" w14:textId="77777777" w:rsidR="002B3498" w:rsidRPr="002B3498" w:rsidRDefault="002B3498" w:rsidP="002B3498">
      <w:pPr>
        <w:spacing w:line="360" w:lineRule="auto"/>
        <w:rPr>
          <w:rFonts w:cs="Arial"/>
          <w:color w:val="000000"/>
          <w:sz w:val="20"/>
          <w:szCs w:val="20"/>
        </w:rPr>
      </w:pPr>
    </w:p>
    <w:p w14:paraId="6D01D8F5" w14:textId="77777777" w:rsidR="002B3498" w:rsidRPr="002B3498" w:rsidRDefault="002B3498" w:rsidP="002B3498">
      <w:pPr>
        <w:widowControl/>
        <w:autoSpaceDE/>
        <w:autoSpaceDN/>
        <w:adjustRightInd/>
        <w:spacing w:line="240" w:lineRule="auto"/>
        <w:jc w:val="left"/>
        <w:rPr>
          <w:rFonts w:cs="Arial"/>
          <w:color w:val="000000"/>
          <w:sz w:val="20"/>
          <w:szCs w:val="20"/>
        </w:rPr>
      </w:pPr>
    </w:p>
    <w:p w14:paraId="56A94F88" w14:textId="77777777" w:rsidR="002B3498" w:rsidRDefault="002B3498" w:rsidP="00D96EF0">
      <w:pPr>
        <w:widowControl/>
        <w:autoSpaceDE/>
        <w:autoSpaceDN/>
        <w:adjustRightInd/>
        <w:spacing w:line="240" w:lineRule="auto"/>
        <w:rPr>
          <w:rFonts w:cs="Arial"/>
          <w:sz w:val="20"/>
          <w:szCs w:val="20"/>
          <w:highlight w:val="yellow"/>
        </w:rPr>
      </w:pPr>
    </w:p>
    <w:sectPr w:rsidR="002B3498" w:rsidSect="000C7C85">
      <w:headerReference w:type="default" r:id="rId23"/>
      <w:footerReference w:type="default" r:id="rId24"/>
      <w:pgSz w:w="23814" w:h="16840" w:orient="landscape" w:code="8"/>
      <w:pgMar w:top="1191" w:right="1134" w:bottom="1134" w:left="1418" w:header="567" w:footer="364" w:gutter="0"/>
      <w:pgNumType w:start="1"/>
      <w:cols w:num="2" w:space="1418"/>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EDF86E" w14:textId="77777777" w:rsidR="00493357" w:rsidRDefault="00493357">
      <w:r>
        <w:separator/>
      </w:r>
    </w:p>
  </w:endnote>
  <w:endnote w:type="continuationSeparator" w:id="0">
    <w:p w14:paraId="4E837615" w14:textId="77777777" w:rsidR="00493357" w:rsidRDefault="004933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hruti">
    <w:panose1 w:val="020B0502040204020203"/>
    <w:charset w:val="00"/>
    <w:family w:val="swiss"/>
    <w:pitch w:val="variable"/>
    <w:sig w:usb0="00040003" w:usb1="00000000" w:usb2="00000000" w:usb3="00000000" w:csb0="00000001" w:csb1="00000000"/>
  </w:font>
  <w:font w:name="Arimo">
    <w:altName w:val="Arimo"/>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F8A5FF" w14:textId="649FF777" w:rsidR="00493357" w:rsidRPr="00BF1B08" w:rsidRDefault="00493357" w:rsidP="00903283">
    <w:pPr>
      <w:pStyle w:val="Piedepgina"/>
      <w:jc w:val="right"/>
      <w:rPr>
        <w:rFonts w:cs="Arial"/>
        <w:b/>
        <w:i/>
        <w:sz w:val="16"/>
        <w:szCs w:val="16"/>
        <w:u w:val="single"/>
      </w:rPr>
    </w:pPr>
    <w:r w:rsidRPr="00213EB3">
      <w:rPr>
        <w:rFonts w:cs="Arial"/>
        <w:noProof/>
        <w:highlight w:val="yellow"/>
      </w:rPr>
      <w:drawing>
        <wp:anchor distT="0" distB="0" distL="114300" distR="114300" simplePos="0" relativeHeight="251641344" behindDoc="0" locked="0" layoutInCell="1" allowOverlap="1" wp14:anchorId="52E1582A" wp14:editId="0EAE0E47">
          <wp:simplePos x="0" y="0"/>
          <wp:positionH relativeFrom="margin">
            <wp:posOffset>-353060</wp:posOffset>
          </wp:positionH>
          <wp:positionV relativeFrom="margin">
            <wp:posOffset>8501553</wp:posOffset>
          </wp:positionV>
          <wp:extent cx="1684655" cy="529590"/>
          <wp:effectExtent l="0" t="0" r="0" b="3810"/>
          <wp:wrapSquare wrapText="bothSides"/>
          <wp:docPr id="4" name="Imagen 4" descr="LOGO_CINTEC_B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_CINTEC_B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4655" cy="5295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F1B08">
      <w:rPr>
        <w:rFonts w:cs="Arial"/>
        <w:b/>
        <w:i/>
        <w:sz w:val="16"/>
        <w:szCs w:val="16"/>
        <w:u w:val="single"/>
      </w:rPr>
      <w:t xml:space="preserve"> </w:t>
    </w:r>
  </w:p>
  <w:p w14:paraId="0A04DFE9" w14:textId="7570F493" w:rsidR="00493357" w:rsidRPr="00493357" w:rsidRDefault="00493357" w:rsidP="00493357">
    <w:pPr>
      <w:pStyle w:val="Piedepgina"/>
      <w:jc w:val="right"/>
      <w:rPr>
        <w:sz w:val="20"/>
        <w:szCs w:val="20"/>
      </w:rPr>
    </w:pPr>
    <w:bookmarkStart w:id="1" w:name="_Hlk140057484"/>
    <w:bookmarkStart w:id="2" w:name="_Hlk140057485"/>
    <w:r w:rsidRPr="00493357">
      <w:rPr>
        <w:sz w:val="20"/>
        <w:szCs w:val="20"/>
      </w:rPr>
      <w:t xml:space="preserve">Acción cofinanciada al 50 % por el Fondo Europeo de Desarrollo Regional dentro del Programa Operativo </w:t>
    </w:r>
    <w:proofErr w:type="spellStart"/>
    <w:r w:rsidRPr="00493357">
      <w:rPr>
        <w:sz w:val="20"/>
        <w:szCs w:val="20"/>
      </w:rPr>
      <w:t>Plurirregional</w:t>
    </w:r>
    <w:proofErr w:type="spellEnd"/>
    <w:r w:rsidRPr="00493357">
      <w:rPr>
        <w:sz w:val="20"/>
        <w:szCs w:val="20"/>
      </w:rPr>
      <w:t xml:space="preserve"> de España 2014-2020 (anteriormente POCS)</w:t>
    </w:r>
    <w:r>
      <w:rPr>
        <w:sz w:val="20"/>
        <w:szCs w:val="20"/>
      </w:rPr>
      <w:t xml:space="preserve">                                      </w:t>
    </w:r>
    <w:r>
      <w:rPr>
        <w:rFonts w:cs="Arial"/>
        <w:b/>
        <w:i/>
        <w:sz w:val="16"/>
        <w:szCs w:val="16"/>
        <w:u w:val="single"/>
      </w:rPr>
      <w:t>PÁ</w:t>
    </w:r>
    <w:r w:rsidRPr="00BF1B08">
      <w:rPr>
        <w:rFonts w:cs="Arial"/>
        <w:b/>
        <w:i/>
        <w:sz w:val="16"/>
        <w:szCs w:val="16"/>
        <w:u w:val="single"/>
      </w:rPr>
      <w:t xml:space="preserve">G - </w:t>
    </w:r>
    <w:r w:rsidRPr="00F900E4">
      <w:rPr>
        <w:rFonts w:cs="Arial"/>
        <w:b/>
        <w:i/>
        <w:sz w:val="16"/>
        <w:szCs w:val="16"/>
        <w:u w:val="single"/>
      </w:rPr>
      <w:fldChar w:fldCharType="begin"/>
    </w:r>
    <w:r w:rsidRPr="00F900E4">
      <w:rPr>
        <w:rFonts w:cs="Arial"/>
        <w:b/>
        <w:i/>
        <w:sz w:val="16"/>
        <w:szCs w:val="16"/>
        <w:u w:val="single"/>
      </w:rPr>
      <w:instrText>PAGE   \* MERGEFORMAT</w:instrText>
    </w:r>
    <w:r w:rsidRPr="00F900E4">
      <w:rPr>
        <w:rFonts w:cs="Arial"/>
        <w:b/>
        <w:i/>
        <w:sz w:val="16"/>
        <w:szCs w:val="16"/>
        <w:u w:val="single"/>
      </w:rPr>
      <w:fldChar w:fldCharType="separate"/>
    </w:r>
    <w:r w:rsidR="00206D99">
      <w:rPr>
        <w:rFonts w:cs="Arial"/>
        <w:b/>
        <w:i/>
        <w:noProof/>
        <w:sz w:val="16"/>
        <w:szCs w:val="16"/>
        <w:u w:val="single"/>
      </w:rPr>
      <w:t>11</w:t>
    </w:r>
    <w:r w:rsidRPr="00F900E4">
      <w:rPr>
        <w:rFonts w:cs="Arial"/>
        <w:b/>
        <w:i/>
        <w:sz w:val="16"/>
        <w:szCs w:val="16"/>
        <w:u w:val="single"/>
      </w:rPr>
      <w:fldChar w:fldCharType="end"/>
    </w:r>
  </w:p>
  <w:bookmarkEnd w:id="1"/>
  <w:bookmarkEnd w:id="2"/>
  <w:p w14:paraId="772DB820" w14:textId="07C28718" w:rsidR="00493357" w:rsidRDefault="00493357" w:rsidP="006213B0">
    <w:pPr>
      <w:tabs>
        <w:tab w:val="left" w:pos="16596"/>
      </w:tabs>
    </w:pPr>
    <w:r>
      <w:tab/>
    </w:r>
  </w:p>
  <w:p w14:paraId="0D89B0C5" w14:textId="77777777" w:rsidR="00493357" w:rsidRDefault="0049335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F16143" w14:textId="77777777" w:rsidR="00493357" w:rsidRDefault="00493357">
      <w:r>
        <w:separator/>
      </w:r>
    </w:p>
  </w:footnote>
  <w:footnote w:type="continuationSeparator" w:id="0">
    <w:p w14:paraId="77FA436B" w14:textId="77777777" w:rsidR="00493357" w:rsidRDefault="0049335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EA2D16" w14:textId="0113AB8F" w:rsidR="00493357" w:rsidRDefault="00493357" w:rsidP="00D96EF0">
    <w:pPr>
      <w:tabs>
        <w:tab w:val="right" w:pos="21262"/>
      </w:tabs>
      <w:spacing w:line="240" w:lineRule="auto"/>
      <w:ind w:left="10773" w:firstLine="708"/>
      <w:jc w:val="right"/>
      <w:rPr>
        <w:rFonts w:cs="Arial"/>
        <w:b/>
        <w:bCs/>
        <w:i/>
        <w:iCs/>
        <w:sz w:val="18"/>
        <w:szCs w:val="18"/>
      </w:rPr>
    </w:pPr>
    <w:r w:rsidRPr="00493357">
      <w:rPr>
        <w:rFonts w:cs="Arial"/>
        <w:b/>
        <w:bCs/>
        <w:i/>
        <w:iCs/>
        <w:noProof/>
        <w:sz w:val="18"/>
        <w:szCs w:val="18"/>
      </w:rPr>
      <w:drawing>
        <wp:anchor distT="0" distB="0" distL="114300" distR="114300" simplePos="0" relativeHeight="251640319" behindDoc="0" locked="0" layoutInCell="1" allowOverlap="1" wp14:anchorId="3328269B" wp14:editId="25C7A212">
          <wp:simplePos x="0" y="0"/>
          <wp:positionH relativeFrom="margin">
            <wp:posOffset>662173</wp:posOffset>
          </wp:positionH>
          <wp:positionV relativeFrom="margin">
            <wp:posOffset>-1005840</wp:posOffset>
          </wp:positionV>
          <wp:extent cx="4987290" cy="656590"/>
          <wp:effectExtent l="0" t="0" r="381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87290" cy="6565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b/>
        <w:i/>
        <w:sz w:val="18"/>
        <w:szCs w:val="18"/>
      </w:rPr>
      <w:tab/>
    </w:r>
    <w:r>
      <w:rPr>
        <w:rFonts w:cs="Arial"/>
        <w:b/>
        <w:bCs/>
        <w:i/>
        <w:iCs/>
        <w:sz w:val="18"/>
        <w:szCs w:val="18"/>
      </w:rPr>
      <w:t>PR</w:t>
    </w:r>
    <w:r w:rsidRPr="00E4515F">
      <w:rPr>
        <w:rFonts w:cs="Arial"/>
        <w:b/>
        <w:bCs/>
        <w:i/>
        <w:iCs/>
        <w:sz w:val="18"/>
        <w:szCs w:val="18"/>
      </w:rPr>
      <w:t xml:space="preserve">OYECTO </w:t>
    </w:r>
    <w:r>
      <w:rPr>
        <w:rFonts w:cs="Arial"/>
        <w:b/>
        <w:bCs/>
        <w:i/>
        <w:iCs/>
        <w:sz w:val="18"/>
        <w:szCs w:val="18"/>
      </w:rPr>
      <w:t xml:space="preserve">CONSTRUCTIVO “RESTAURACIÓN AMBIENTAL Y URBANA DE LOS SUELOS </w:t>
    </w:r>
  </w:p>
  <w:p w14:paraId="6BD06654" w14:textId="2CDEF96E" w:rsidR="00493357" w:rsidRDefault="00493357" w:rsidP="00D96EF0">
    <w:pPr>
      <w:tabs>
        <w:tab w:val="left" w:pos="3171"/>
        <w:tab w:val="left" w:pos="3673"/>
        <w:tab w:val="left" w:pos="4498"/>
        <w:tab w:val="right" w:pos="21262"/>
      </w:tabs>
      <w:spacing w:line="240" w:lineRule="auto"/>
      <w:ind w:left="708"/>
      <w:jc w:val="right"/>
      <w:rPr>
        <w:rFonts w:cs="Arial"/>
        <w:b/>
        <w:bCs/>
        <w:i/>
        <w:iCs/>
        <w:sz w:val="18"/>
        <w:szCs w:val="18"/>
      </w:rPr>
    </w:pPr>
    <w:r>
      <w:rPr>
        <w:rFonts w:cs="Arial"/>
        <w:b/>
        <w:bCs/>
        <w:i/>
        <w:iCs/>
        <w:sz w:val="18"/>
        <w:szCs w:val="18"/>
      </w:rPr>
      <w:tab/>
      <w:t xml:space="preserve"> DEGRADADOS DE LOS ANTIGUOS DEPÓSITOS DE AGUA EN TUDELA (</w:t>
    </w:r>
    <w:r w:rsidRPr="00E4515F">
      <w:rPr>
        <w:rFonts w:cs="Arial"/>
        <w:b/>
        <w:bCs/>
        <w:i/>
        <w:iCs/>
        <w:sz w:val="18"/>
        <w:szCs w:val="18"/>
      </w:rPr>
      <w:t>NAVARRA)</w:t>
    </w:r>
    <w:r>
      <w:rPr>
        <w:rFonts w:cs="Arial"/>
        <w:b/>
        <w:bCs/>
        <w:i/>
        <w:iCs/>
        <w:sz w:val="18"/>
        <w:szCs w:val="18"/>
      </w:rPr>
      <w:t>”</w:t>
    </w:r>
  </w:p>
  <w:p w14:paraId="34F28D57" w14:textId="0AF98440" w:rsidR="00493357" w:rsidRDefault="00493357" w:rsidP="00D96EF0">
    <w:pPr>
      <w:tabs>
        <w:tab w:val="left" w:pos="3171"/>
        <w:tab w:val="left" w:pos="3673"/>
        <w:tab w:val="left" w:pos="4498"/>
        <w:tab w:val="right" w:pos="21262"/>
      </w:tabs>
      <w:spacing w:line="240" w:lineRule="auto"/>
      <w:jc w:val="left"/>
      <w:rPr>
        <w:rFonts w:cs="Arial"/>
        <w:b/>
        <w:bCs/>
        <w:i/>
        <w:iCs/>
        <w:color w:val="4F81BD" w:themeColor="accent1"/>
        <w:sz w:val="18"/>
        <w:szCs w:val="18"/>
      </w:rPr>
    </w:pPr>
    <w:r w:rsidRPr="00CB027D">
      <w:rPr>
        <w:rFonts w:cs="Arial"/>
        <w:sz w:val="18"/>
        <w:szCs w:val="18"/>
      </w:rPr>
      <w:tab/>
    </w:r>
    <w:r w:rsidRPr="00CB027D">
      <w:rPr>
        <w:rFonts w:cs="Arial"/>
        <w:b/>
        <w:bCs/>
        <w:i/>
        <w:iCs/>
        <w:color w:val="4F81BD" w:themeColor="accent1"/>
        <w:sz w:val="18"/>
        <w:szCs w:val="18"/>
      </w:rPr>
      <w:t xml:space="preserve">     </w:t>
    </w:r>
  </w:p>
  <w:p w14:paraId="02EF6743" w14:textId="77777777" w:rsidR="00493357" w:rsidRPr="00CB027D" w:rsidRDefault="00493357" w:rsidP="00D96EF0">
    <w:pPr>
      <w:tabs>
        <w:tab w:val="left" w:pos="3171"/>
        <w:tab w:val="left" w:pos="3673"/>
        <w:tab w:val="left" w:pos="4498"/>
        <w:tab w:val="right" w:pos="21262"/>
      </w:tabs>
      <w:spacing w:line="240" w:lineRule="auto"/>
      <w:jc w:val="left"/>
      <w:rPr>
        <w:rFonts w:cs="Arial"/>
        <w:sz w:val="18"/>
        <w:szCs w:val="18"/>
      </w:rPr>
    </w:pPr>
  </w:p>
  <w:p w14:paraId="194DDC77" w14:textId="42D2B3F1" w:rsidR="00B36A00" w:rsidRPr="00BF1B08" w:rsidRDefault="002B3498" w:rsidP="00B36A00">
    <w:pPr>
      <w:pStyle w:val="Encabezado"/>
      <w:pBdr>
        <w:bottom w:val="single" w:sz="4" w:space="1" w:color="auto"/>
      </w:pBdr>
      <w:tabs>
        <w:tab w:val="clear" w:pos="4252"/>
        <w:tab w:val="clear" w:pos="8504"/>
        <w:tab w:val="left" w:pos="17383"/>
        <w:tab w:val="right" w:pos="20696"/>
        <w:tab w:val="right" w:pos="21262"/>
      </w:tabs>
      <w:spacing w:line="240" w:lineRule="auto"/>
      <w:jc w:val="right"/>
      <w:rPr>
        <w:rFonts w:cs="Arial"/>
        <w:sz w:val="18"/>
        <w:szCs w:val="18"/>
      </w:rPr>
    </w:pPr>
    <w:r>
      <w:rPr>
        <w:rFonts w:cs="Arial"/>
        <w:sz w:val="18"/>
        <w:szCs w:val="18"/>
      </w:rPr>
      <w:t>ANEJO Nº2.- ESTUDIO DE GESTIÓN DE RESIDUOS</w:t>
    </w:r>
  </w:p>
  <w:p w14:paraId="01208E45" w14:textId="118ED179" w:rsidR="00493357" w:rsidRDefault="00B36A00" w:rsidP="00B36A00">
    <w:pPr>
      <w:tabs>
        <w:tab w:val="left" w:pos="13673"/>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4379A3"/>
    <w:multiLevelType w:val="multilevel"/>
    <w:tmpl w:val="8B62D01A"/>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 w15:restartNumberingAfterBreak="0">
    <w:nsid w:val="4121442B"/>
    <w:multiLevelType w:val="hybridMultilevel"/>
    <w:tmpl w:val="D7BA7C6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51DB7750"/>
    <w:multiLevelType w:val="hybridMultilevel"/>
    <w:tmpl w:val="89F62280"/>
    <w:lvl w:ilvl="0" w:tplc="0C0A0017">
      <w:start w:val="1"/>
      <w:numFmt w:val="lowerLetter"/>
      <w:lvlText w:val="%1)"/>
      <w:lvlJc w:val="left"/>
      <w:pPr>
        <w:ind w:left="720" w:hanging="360"/>
      </w:pPr>
      <w:rPr>
        <w:rFonts w:hint="default"/>
      </w:rPr>
    </w:lvl>
    <w:lvl w:ilvl="1" w:tplc="C9B4910A">
      <w:numFmt w:val="bullet"/>
      <w:lvlText w:val="•"/>
      <w:lvlJc w:val="left"/>
      <w:pPr>
        <w:ind w:left="1440" w:hanging="360"/>
      </w:pPr>
      <w:rPr>
        <w:rFonts w:ascii="Arial" w:eastAsia="Times New Roman" w:hAnsi="Arial" w:cs="Aria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65CC15E9"/>
    <w:multiLevelType w:val="hybridMultilevel"/>
    <w:tmpl w:val="A75271B0"/>
    <w:lvl w:ilvl="0" w:tplc="097E6074">
      <w:start w:val="1"/>
      <w:numFmt w:val="bullet"/>
      <w:lvlText w:val="-"/>
      <w:lvlJc w:val="left"/>
      <w:pPr>
        <w:ind w:left="720" w:hanging="360"/>
      </w:pPr>
      <w:rPr>
        <w:rFonts w:ascii="Arial" w:eastAsiaTheme="minorHAnsi" w:hAnsi="Arial" w:cs="Aria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680309F1"/>
    <w:multiLevelType w:val="hybridMultilevel"/>
    <w:tmpl w:val="5AD88924"/>
    <w:lvl w:ilvl="0" w:tplc="77162446">
      <w:start w:val="1"/>
      <w:numFmt w:val="bullet"/>
      <w:lvlText w:val=""/>
      <w:lvlJc w:val="left"/>
      <w:pPr>
        <w:tabs>
          <w:tab w:val="num" w:pos="720"/>
        </w:tabs>
        <w:ind w:left="720" w:hanging="360"/>
      </w:pPr>
      <w:rPr>
        <w:rFonts w:ascii="Symbol" w:hAnsi="Symbol" w:hint="default"/>
      </w:rPr>
    </w:lvl>
    <w:lvl w:ilvl="1" w:tplc="D9927162">
      <w:start w:val="1"/>
      <w:numFmt w:val="decimal"/>
      <w:pStyle w:val="Estilo4"/>
      <w:lvlText w:val="%2."/>
      <w:lvlJc w:val="left"/>
      <w:pPr>
        <w:tabs>
          <w:tab w:val="num" w:pos="1077"/>
        </w:tabs>
        <w:ind w:left="1168" w:hanging="88"/>
      </w:pPr>
      <w:rPr>
        <w:rFonts w:hint="default"/>
      </w:rPr>
    </w:lvl>
    <w:lvl w:ilvl="2" w:tplc="25E42732" w:tentative="1">
      <w:start w:val="1"/>
      <w:numFmt w:val="bullet"/>
      <w:lvlText w:val=""/>
      <w:lvlJc w:val="left"/>
      <w:pPr>
        <w:tabs>
          <w:tab w:val="num" w:pos="2160"/>
        </w:tabs>
        <w:ind w:left="2160" w:hanging="360"/>
      </w:pPr>
      <w:rPr>
        <w:rFonts w:ascii="Wingdings" w:hAnsi="Wingdings" w:hint="default"/>
      </w:rPr>
    </w:lvl>
    <w:lvl w:ilvl="3" w:tplc="29F06278" w:tentative="1">
      <w:start w:val="1"/>
      <w:numFmt w:val="bullet"/>
      <w:lvlText w:val=""/>
      <w:lvlJc w:val="left"/>
      <w:pPr>
        <w:tabs>
          <w:tab w:val="num" w:pos="2880"/>
        </w:tabs>
        <w:ind w:left="2880" w:hanging="360"/>
      </w:pPr>
      <w:rPr>
        <w:rFonts w:ascii="Symbol" w:hAnsi="Symbol" w:hint="default"/>
      </w:rPr>
    </w:lvl>
    <w:lvl w:ilvl="4" w:tplc="F1BC4EB0" w:tentative="1">
      <w:start w:val="1"/>
      <w:numFmt w:val="bullet"/>
      <w:lvlText w:val="o"/>
      <w:lvlJc w:val="left"/>
      <w:pPr>
        <w:tabs>
          <w:tab w:val="num" w:pos="3600"/>
        </w:tabs>
        <w:ind w:left="3600" w:hanging="360"/>
      </w:pPr>
      <w:rPr>
        <w:rFonts w:ascii="Courier New" w:hAnsi="Courier New" w:cs="Courier New" w:hint="default"/>
      </w:rPr>
    </w:lvl>
    <w:lvl w:ilvl="5" w:tplc="404636F0" w:tentative="1">
      <w:start w:val="1"/>
      <w:numFmt w:val="bullet"/>
      <w:lvlText w:val=""/>
      <w:lvlJc w:val="left"/>
      <w:pPr>
        <w:tabs>
          <w:tab w:val="num" w:pos="4320"/>
        </w:tabs>
        <w:ind w:left="4320" w:hanging="360"/>
      </w:pPr>
      <w:rPr>
        <w:rFonts w:ascii="Wingdings" w:hAnsi="Wingdings" w:hint="default"/>
      </w:rPr>
    </w:lvl>
    <w:lvl w:ilvl="6" w:tplc="EB1E915E" w:tentative="1">
      <w:start w:val="1"/>
      <w:numFmt w:val="bullet"/>
      <w:lvlText w:val=""/>
      <w:lvlJc w:val="left"/>
      <w:pPr>
        <w:tabs>
          <w:tab w:val="num" w:pos="5040"/>
        </w:tabs>
        <w:ind w:left="5040" w:hanging="360"/>
      </w:pPr>
      <w:rPr>
        <w:rFonts w:ascii="Symbol" w:hAnsi="Symbol" w:hint="default"/>
      </w:rPr>
    </w:lvl>
    <w:lvl w:ilvl="7" w:tplc="3984D90C" w:tentative="1">
      <w:start w:val="1"/>
      <w:numFmt w:val="bullet"/>
      <w:lvlText w:val="o"/>
      <w:lvlJc w:val="left"/>
      <w:pPr>
        <w:tabs>
          <w:tab w:val="num" w:pos="5760"/>
        </w:tabs>
        <w:ind w:left="5760" w:hanging="360"/>
      </w:pPr>
      <w:rPr>
        <w:rFonts w:ascii="Courier New" w:hAnsi="Courier New" w:cs="Courier New" w:hint="default"/>
      </w:rPr>
    </w:lvl>
    <w:lvl w:ilvl="8" w:tplc="351AB22A"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FD306FE"/>
    <w:multiLevelType w:val="multilevel"/>
    <w:tmpl w:val="9BF6D096"/>
    <w:lvl w:ilvl="0">
      <w:start w:val="1"/>
      <w:numFmt w:val="decimal"/>
      <w:pStyle w:val="Ttulo1"/>
      <w:lvlText w:val="%1."/>
      <w:lvlJc w:val="left"/>
      <w:pPr>
        <w:ind w:left="720" w:hanging="360"/>
      </w:pPr>
    </w:lvl>
    <w:lvl w:ilvl="1">
      <w:start w:val="1"/>
      <w:numFmt w:val="decimal"/>
      <w:pStyle w:val="Ttulo2"/>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4"/>
  </w:num>
  <w:num w:numId="2">
    <w:abstractNumId w:val="5"/>
  </w:num>
  <w:num w:numId="3">
    <w:abstractNumId w:val="0"/>
  </w:num>
  <w:num w:numId="4">
    <w:abstractNumId w:val="3"/>
  </w:num>
  <w:num w:numId="5">
    <w:abstractNumId w:val="2"/>
  </w:num>
  <w:num w:numId="6">
    <w:abstractNumId w:val="1"/>
  </w:num>
  <w:num w:numId="7">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5"/>
  <w:gutterAtTop/>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rawingGridVerticalSpacing w:val="127"/>
  <w:displayHorizontalDrawingGridEvery w:val="0"/>
  <w:displayVerticalDrawingGridEvery w:val="2"/>
  <w:noPunctuationKerning/>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754A"/>
    <w:rsid w:val="0000534A"/>
    <w:rsid w:val="00005CC3"/>
    <w:rsid w:val="00006089"/>
    <w:rsid w:val="000068AC"/>
    <w:rsid w:val="00006F0F"/>
    <w:rsid w:val="00007004"/>
    <w:rsid w:val="000071FF"/>
    <w:rsid w:val="00010B8E"/>
    <w:rsid w:val="00010BD4"/>
    <w:rsid w:val="00011EEB"/>
    <w:rsid w:val="00013C6C"/>
    <w:rsid w:val="00014BA3"/>
    <w:rsid w:val="000228B1"/>
    <w:rsid w:val="00024278"/>
    <w:rsid w:val="00024B38"/>
    <w:rsid w:val="00026996"/>
    <w:rsid w:val="00034E46"/>
    <w:rsid w:val="00035AC9"/>
    <w:rsid w:val="000372ED"/>
    <w:rsid w:val="00037AE6"/>
    <w:rsid w:val="00040BFF"/>
    <w:rsid w:val="00042348"/>
    <w:rsid w:val="00045066"/>
    <w:rsid w:val="000456F6"/>
    <w:rsid w:val="00047E30"/>
    <w:rsid w:val="0005059A"/>
    <w:rsid w:val="000609FE"/>
    <w:rsid w:val="00064A04"/>
    <w:rsid w:val="00064FB1"/>
    <w:rsid w:val="000675B6"/>
    <w:rsid w:val="000678F7"/>
    <w:rsid w:val="000704F2"/>
    <w:rsid w:val="00070B89"/>
    <w:rsid w:val="00071328"/>
    <w:rsid w:val="0007197B"/>
    <w:rsid w:val="0007495F"/>
    <w:rsid w:val="0007741E"/>
    <w:rsid w:val="00082286"/>
    <w:rsid w:val="00086A7C"/>
    <w:rsid w:val="0009329D"/>
    <w:rsid w:val="00093FD0"/>
    <w:rsid w:val="000957B3"/>
    <w:rsid w:val="000A2BFA"/>
    <w:rsid w:val="000A2E03"/>
    <w:rsid w:val="000A2F4B"/>
    <w:rsid w:val="000A3B7F"/>
    <w:rsid w:val="000B0E37"/>
    <w:rsid w:val="000B1178"/>
    <w:rsid w:val="000B31A3"/>
    <w:rsid w:val="000B41EE"/>
    <w:rsid w:val="000B5A37"/>
    <w:rsid w:val="000B6F97"/>
    <w:rsid w:val="000B7FC2"/>
    <w:rsid w:val="000C2A5B"/>
    <w:rsid w:val="000C39AA"/>
    <w:rsid w:val="000C3EAC"/>
    <w:rsid w:val="000C5988"/>
    <w:rsid w:val="000C7C85"/>
    <w:rsid w:val="000D1EDD"/>
    <w:rsid w:val="000D2A9A"/>
    <w:rsid w:val="000D2ADC"/>
    <w:rsid w:val="000D5D54"/>
    <w:rsid w:val="000E256A"/>
    <w:rsid w:val="000E327D"/>
    <w:rsid w:val="000E4972"/>
    <w:rsid w:val="000F308C"/>
    <w:rsid w:val="000F37F6"/>
    <w:rsid w:val="000F40A9"/>
    <w:rsid w:val="00100A77"/>
    <w:rsid w:val="00102353"/>
    <w:rsid w:val="00102609"/>
    <w:rsid w:val="0010577D"/>
    <w:rsid w:val="00106212"/>
    <w:rsid w:val="00116A35"/>
    <w:rsid w:val="001177E9"/>
    <w:rsid w:val="0012015E"/>
    <w:rsid w:val="001203AA"/>
    <w:rsid w:val="0012116F"/>
    <w:rsid w:val="00122E56"/>
    <w:rsid w:val="0012335C"/>
    <w:rsid w:val="001266EA"/>
    <w:rsid w:val="001307F8"/>
    <w:rsid w:val="00130D75"/>
    <w:rsid w:val="001347BD"/>
    <w:rsid w:val="00135504"/>
    <w:rsid w:val="0013616B"/>
    <w:rsid w:val="00136E32"/>
    <w:rsid w:val="00137B3C"/>
    <w:rsid w:val="001514E7"/>
    <w:rsid w:val="00152BBC"/>
    <w:rsid w:val="001562A4"/>
    <w:rsid w:val="00157ADC"/>
    <w:rsid w:val="00160DD6"/>
    <w:rsid w:val="001676F4"/>
    <w:rsid w:val="00167989"/>
    <w:rsid w:val="00170144"/>
    <w:rsid w:val="0017192B"/>
    <w:rsid w:val="0017379D"/>
    <w:rsid w:val="0017411A"/>
    <w:rsid w:val="001778AF"/>
    <w:rsid w:val="001803AD"/>
    <w:rsid w:val="001805F2"/>
    <w:rsid w:val="00181B03"/>
    <w:rsid w:val="00182FB1"/>
    <w:rsid w:val="0018470C"/>
    <w:rsid w:val="00185316"/>
    <w:rsid w:val="00185C22"/>
    <w:rsid w:val="00190E07"/>
    <w:rsid w:val="00192615"/>
    <w:rsid w:val="00197799"/>
    <w:rsid w:val="001A233C"/>
    <w:rsid w:val="001A2FE6"/>
    <w:rsid w:val="001A3A50"/>
    <w:rsid w:val="001A4DDD"/>
    <w:rsid w:val="001A7115"/>
    <w:rsid w:val="001A73DE"/>
    <w:rsid w:val="001B190E"/>
    <w:rsid w:val="001C4420"/>
    <w:rsid w:val="001C4DF7"/>
    <w:rsid w:val="001C6737"/>
    <w:rsid w:val="001C6CB3"/>
    <w:rsid w:val="001D0781"/>
    <w:rsid w:val="001D0990"/>
    <w:rsid w:val="001D21EC"/>
    <w:rsid w:val="001D50FA"/>
    <w:rsid w:val="001D6EC4"/>
    <w:rsid w:val="001E1366"/>
    <w:rsid w:val="001E3B9F"/>
    <w:rsid w:val="001E3BAA"/>
    <w:rsid w:val="001F43F5"/>
    <w:rsid w:val="001F770C"/>
    <w:rsid w:val="00202E56"/>
    <w:rsid w:val="00203DCD"/>
    <w:rsid w:val="00203EEF"/>
    <w:rsid w:val="00206D99"/>
    <w:rsid w:val="002071FB"/>
    <w:rsid w:val="00207F10"/>
    <w:rsid w:val="00213EB3"/>
    <w:rsid w:val="00216D07"/>
    <w:rsid w:val="002228EE"/>
    <w:rsid w:val="00222E7C"/>
    <w:rsid w:val="00224693"/>
    <w:rsid w:val="002269CD"/>
    <w:rsid w:val="00235CDD"/>
    <w:rsid w:val="002364C5"/>
    <w:rsid w:val="00242B0E"/>
    <w:rsid w:val="002441D7"/>
    <w:rsid w:val="0024483E"/>
    <w:rsid w:val="002450BB"/>
    <w:rsid w:val="002454B0"/>
    <w:rsid w:val="00250009"/>
    <w:rsid w:val="00250373"/>
    <w:rsid w:val="0025551E"/>
    <w:rsid w:val="002578C9"/>
    <w:rsid w:val="002609CC"/>
    <w:rsid w:val="00265B4C"/>
    <w:rsid w:val="00266500"/>
    <w:rsid w:val="00277238"/>
    <w:rsid w:val="00277F49"/>
    <w:rsid w:val="00280846"/>
    <w:rsid w:val="002823D3"/>
    <w:rsid w:val="0028355E"/>
    <w:rsid w:val="00293FB2"/>
    <w:rsid w:val="00294119"/>
    <w:rsid w:val="00295420"/>
    <w:rsid w:val="00297571"/>
    <w:rsid w:val="00297690"/>
    <w:rsid w:val="002A4729"/>
    <w:rsid w:val="002B0BD5"/>
    <w:rsid w:val="002B2DD3"/>
    <w:rsid w:val="002B3498"/>
    <w:rsid w:val="002B5391"/>
    <w:rsid w:val="002B6151"/>
    <w:rsid w:val="002B6E54"/>
    <w:rsid w:val="002C0939"/>
    <w:rsid w:val="002C1B28"/>
    <w:rsid w:val="002C3B26"/>
    <w:rsid w:val="002C3DB9"/>
    <w:rsid w:val="002C53F0"/>
    <w:rsid w:val="002C6A55"/>
    <w:rsid w:val="002C6C98"/>
    <w:rsid w:val="002C7259"/>
    <w:rsid w:val="002D115E"/>
    <w:rsid w:val="002D3094"/>
    <w:rsid w:val="002D480D"/>
    <w:rsid w:val="002D78A7"/>
    <w:rsid w:val="002E0821"/>
    <w:rsid w:val="002E0F4F"/>
    <w:rsid w:val="002E3011"/>
    <w:rsid w:val="002E3680"/>
    <w:rsid w:val="002E743E"/>
    <w:rsid w:val="002F24A9"/>
    <w:rsid w:val="002F299F"/>
    <w:rsid w:val="002F6AB6"/>
    <w:rsid w:val="002F7BDC"/>
    <w:rsid w:val="00301303"/>
    <w:rsid w:val="00305032"/>
    <w:rsid w:val="003069CD"/>
    <w:rsid w:val="00314A91"/>
    <w:rsid w:val="003150A0"/>
    <w:rsid w:val="00315554"/>
    <w:rsid w:val="00315B41"/>
    <w:rsid w:val="00317B5A"/>
    <w:rsid w:val="003220AB"/>
    <w:rsid w:val="00323734"/>
    <w:rsid w:val="00323AC8"/>
    <w:rsid w:val="00325503"/>
    <w:rsid w:val="003275A9"/>
    <w:rsid w:val="00327602"/>
    <w:rsid w:val="00330953"/>
    <w:rsid w:val="00331FC1"/>
    <w:rsid w:val="00332920"/>
    <w:rsid w:val="00332D11"/>
    <w:rsid w:val="003346AE"/>
    <w:rsid w:val="00334BAA"/>
    <w:rsid w:val="00335F19"/>
    <w:rsid w:val="00342E46"/>
    <w:rsid w:val="0034768F"/>
    <w:rsid w:val="00347FF4"/>
    <w:rsid w:val="003509ED"/>
    <w:rsid w:val="00354A0B"/>
    <w:rsid w:val="00356458"/>
    <w:rsid w:val="003611F2"/>
    <w:rsid w:val="00361705"/>
    <w:rsid w:val="003621CB"/>
    <w:rsid w:val="00362CDD"/>
    <w:rsid w:val="00364F14"/>
    <w:rsid w:val="00366EA7"/>
    <w:rsid w:val="003741AD"/>
    <w:rsid w:val="003763BC"/>
    <w:rsid w:val="00376D8B"/>
    <w:rsid w:val="00381521"/>
    <w:rsid w:val="00382046"/>
    <w:rsid w:val="003844EC"/>
    <w:rsid w:val="00385BEE"/>
    <w:rsid w:val="00386226"/>
    <w:rsid w:val="00387A3C"/>
    <w:rsid w:val="003903A3"/>
    <w:rsid w:val="003A14D7"/>
    <w:rsid w:val="003A2B59"/>
    <w:rsid w:val="003A323D"/>
    <w:rsid w:val="003A5A92"/>
    <w:rsid w:val="003A6DA4"/>
    <w:rsid w:val="003A6ED9"/>
    <w:rsid w:val="003A7117"/>
    <w:rsid w:val="003B2FD9"/>
    <w:rsid w:val="003C2024"/>
    <w:rsid w:val="003C2313"/>
    <w:rsid w:val="003C3D1B"/>
    <w:rsid w:val="003C43C3"/>
    <w:rsid w:val="003C49FD"/>
    <w:rsid w:val="003C51D5"/>
    <w:rsid w:val="003E0BBF"/>
    <w:rsid w:val="003E4103"/>
    <w:rsid w:val="003E77C6"/>
    <w:rsid w:val="003F1181"/>
    <w:rsid w:val="003F5061"/>
    <w:rsid w:val="004028DA"/>
    <w:rsid w:val="00404DCB"/>
    <w:rsid w:val="00405020"/>
    <w:rsid w:val="004062B4"/>
    <w:rsid w:val="004151CF"/>
    <w:rsid w:val="00422236"/>
    <w:rsid w:val="00426542"/>
    <w:rsid w:val="00427B89"/>
    <w:rsid w:val="004301E0"/>
    <w:rsid w:val="0043322F"/>
    <w:rsid w:val="004332E0"/>
    <w:rsid w:val="00433FE7"/>
    <w:rsid w:val="004343AD"/>
    <w:rsid w:val="00435799"/>
    <w:rsid w:val="00435A8C"/>
    <w:rsid w:val="004404BA"/>
    <w:rsid w:val="00441A8E"/>
    <w:rsid w:val="004452B7"/>
    <w:rsid w:val="00446C8E"/>
    <w:rsid w:val="00453A55"/>
    <w:rsid w:val="00454DEF"/>
    <w:rsid w:val="004555ED"/>
    <w:rsid w:val="00462524"/>
    <w:rsid w:val="004652B7"/>
    <w:rsid w:val="00467D60"/>
    <w:rsid w:val="00467E01"/>
    <w:rsid w:val="00471958"/>
    <w:rsid w:val="00472526"/>
    <w:rsid w:val="00475E5E"/>
    <w:rsid w:val="00483147"/>
    <w:rsid w:val="00490021"/>
    <w:rsid w:val="00493357"/>
    <w:rsid w:val="004A25FA"/>
    <w:rsid w:val="004A3A7C"/>
    <w:rsid w:val="004A5853"/>
    <w:rsid w:val="004A7D78"/>
    <w:rsid w:val="004A7DD9"/>
    <w:rsid w:val="004B2D18"/>
    <w:rsid w:val="004C0B35"/>
    <w:rsid w:val="004C56B8"/>
    <w:rsid w:val="004D1CC8"/>
    <w:rsid w:val="004D3283"/>
    <w:rsid w:val="004D3E28"/>
    <w:rsid w:val="004E2430"/>
    <w:rsid w:val="004E2DE9"/>
    <w:rsid w:val="004F050A"/>
    <w:rsid w:val="004F13BA"/>
    <w:rsid w:val="004F1A33"/>
    <w:rsid w:val="004F3C89"/>
    <w:rsid w:val="004F530C"/>
    <w:rsid w:val="004F580E"/>
    <w:rsid w:val="00502817"/>
    <w:rsid w:val="00505A4C"/>
    <w:rsid w:val="005062D1"/>
    <w:rsid w:val="00512D30"/>
    <w:rsid w:val="00515850"/>
    <w:rsid w:val="00517B48"/>
    <w:rsid w:val="00520F70"/>
    <w:rsid w:val="00525A90"/>
    <w:rsid w:val="00530A7B"/>
    <w:rsid w:val="0053100A"/>
    <w:rsid w:val="00535499"/>
    <w:rsid w:val="0053564E"/>
    <w:rsid w:val="005365FC"/>
    <w:rsid w:val="0054114A"/>
    <w:rsid w:val="005422B7"/>
    <w:rsid w:val="0054436F"/>
    <w:rsid w:val="00545E31"/>
    <w:rsid w:val="0054754A"/>
    <w:rsid w:val="005476F9"/>
    <w:rsid w:val="00550792"/>
    <w:rsid w:val="005507E4"/>
    <w:rsid w:val="0055523C"/>
    <w:rsid w:val="00560B51"/>
    <w:rsid w:val="00564162"/>
    <w:rsid w:val="005647AB"/>
    <w:rsid w:val="005648AD"/>
    <w:rsid w:val="005648F0"/>
    <w:rsid w:val="00565FCC"/>
    <w:rsid w:val="00567558"/>
    <w:rsid w:val="005715D9"/>
    <w:rsid w:val="00572F6D"/>
    <w:rsid w:val="00576804"/>
    <w:rsid w:val="00582E61"/>
    <w:rsid w:val="0058339C"/>
    <w:rsid w:val="00583A3D"/>
    <w:rsid w:val="00584DA0"/>
    <w:rsid w:val="00586153"/>
    <w:rsid w:val="005910CA"/>
    <w:rsid w:val="00593C55"/>
    <w:rsid w:val="005969A6"/>
    <w:rsid w:val="00596A0D"/>
    <w:rsid w:val="005A42D8"/>
    <w:rsid w:val="005A4BB8"/>
    <w:rsid w:val="005A612A"/>
    <w:rsid w:val="005A6846"/>
    <w:rsid w:val="005A6F03"/>
    <w:rsid w:val="005B06B9"/>
    <w:rsid w:val="005B2B74"/>
    <w:rsid w:val="005B6C2E"/>
    <w:rsid w:val="005C027D"/>
    <w:rsid w:val="005C3DAE"/>
    <w:rsid w:val="005C476A"/>
    <w:rsid w:val="005C5CC9"/>
    <w:rsid w:val="005C6D1B"/>
    <w:rsid w:val="005D048D"/>
    <w:rsid w:val="005D1BBC"/>
    <w:rsid w:val="005D31DD"/>
    <w:rsid w:val="005E249E"/>
    <w:rsid w:val="005E508E"/>
    <w:rsid w:val="005E5DA3"/>
    <w:rsid w:val="00602A4F"/>
    <w:rsid w:val="00602A73"/>
    <w:rsid w:val="00605977"/>
    <w:rsid w:val="00610BC4"/>
    <w:rsid w:val="00611D21"/>
    <w:rsid w:val="00611D98"/>
    <w:rsid w:val="00611DB6"/>
    <w:rsid w:val="006130F8"/>
    <w:rsid w:val="00615706"/>
    <w:rsid w:val="00615810"/>
    <w:rsid w:val="006213B0"/>
    <w:rsid w:val="00621E52"/>
    <w:rsid w:val="00626602"/>
    <w:rsid w:val="00634044"/>
    <w:rsid w:val="006348E7"/>
    <w:rsid w:val="006350BE"/>
    <w:rsid w:val="006378DD"/>
    <w:rsid w:val="0064443E"/>
    <w:rsid w:val="00646499"/>
    <w:rsid w:val="00647063"/>
    <w:rsid w:val="006543A6"/>
    <w:rsid w:val="00654B70"/>
    <w:rsid w:val="00655855"/>
    <w:rsid w:val="006558B1"/>
    <w:rsid w:val="00660C52"/>
    <w:rsid w:val="006620D2"/>
    <w:rsid w:val="00662A26"/>
    <w:rsid w:val="00663855"/>
    <w:rsid w:val="006641A4"/>
    <w:rsid w:val="00670D0A"/>
    <w:rsid w:val="00674593"/>
    <w:rsid w:val="006773F2"/>
    <w:rsid w:val="00680D47"/>
    <w:rsid w:val="00685838"/>
    <w:rsid w:val="00686561"/>
    <w:rsid w:val="00686861"/>
    <w:rsid w:val="00690BD6"/>
    <w:rsid w:val="00692453"/>
    <w:rsid w:val="00692D8C"/>
    <w:rsid w:val="00692E97"/>
    <w:rsid w:val="00693015"/>
    <w:rsid w:val="00695525"/>
    <w:rsid w:val="006A5902"/>
    <w:rsid w:val="006A6069"/>
    <w:rsid w:val="006A65F7"/>
    <w:rsid w:val="006A6B2B"/>
    <w:rsid w:val="006A6B78"/>
    <w:rsid w:val="006B2010"/>
    <w:rsid w:val="006B24E1"/>
    <w:rsid w:val="006B2B33"/>
    <w:rsid w:val="006B48E1"/>
    <w:rsid w:val="006B4D3F"/>
    <w:rsid w:val="006B520E"/>
    <w:rsid w:val="006B6CCA"/>
    <w:rsid w:val="006C1270"/>
    <w:rsid w:val="006C35AE"/>
    <w:rsid w:val="006C7952"/>
    <w:rsid w:val="006D7663"/>
    <w:rsid w:val="006E43D9"/>
    <w:rsid w:val="006E4899"/>
    <w:rsid w:val="006E6F4C"/>
    <w:rsid w:val="006F27B8"/>
    <w:rsid w:val="006F4030"/>
    <w:rsid w:val="006F450A"/>
    <w:rsid w:val="006F4581"/>
    <w:rsid w:val="006F6A18"/>
    <w:rsid w:val="006F73DE"/>
    <w:rsid w:val="00702EF4"/>
    <w:rsid w:val="007043F7"/>
    <w:rsid w:val="00705E2D"/>
    <w:rsid w:val="00707B88"/>
    <w:rsid w:val="00707E37"/>
    <w:rsid w:val="00711015"/>
    <w:rsid w:val="0071119F"/>
    <w:rsid w:val="00711F11"/>
    <w:rsid w:val="0071219C"/>
    <w:rsid w:val="00713FE4"/>
    <w:rsid w:val="00714384"/>
    <w:rsid w:val="00714D0B"/>
    <w:rsid w:val="007158F5"/>
    <w:rsid w:val="00716507"/>
    <w:rsid w:val="0071745C"/>
    <w:rsid w:val="00725EDB"/>
    <w:rsid w:val="00727695"/>
    <w:rsid w:val="007300AD"/>
    <w:rsid w:val="007314BD"/>
    <w:rsid w:val="00733295"/>
    <w:rsid w:val="007366CA"/>
    <w:rsid w:val="00741509"/>
    <w:rsid w:val="00741D7F"/>
    <w:rsid w:val="007438C2"/>
    <w:rsid w:val="00743F27"/>
    <w:rsid w:val="00745416"/>
    <w:rsid w:val="00746127"/>
    <w:rsid w:val="00746736"/>
    <w:rsid w:val="00754C03"/>
    <w:rsid w:val="0075718B"/>
    <w:rsid w:val="00757CFD"/>
    <w:rsid w:val="00761EB7"/>
    <w:rsid w:val="0076293C"/>
    <w:rsid w:val="00763935"/>
    <w:rsid w:val="00767755"/>
    <w:rsid w:val="007677DF"/>
    <w:rsid w:val="007718A9"/>
    <w:rsid w:val="00772169"/>
    <w:rsid w:val="007721E5"/>
    <w:rsid w:val="007737F8"/>
    <w:rsid w:val="00782B85"/>
    <w:rsid w:val="00784AAE"/>
    <w:rsid w:val="00792C4B"/>
    <w:rsid w:val="00792E69"/>
    <w:rsid w:val="007941F4"/>
    <w:rsid w:val="00797BDE"/>
    <w:rsid w:val="007A3139"/>
    <w:rsid w:val="007B44F6"/>
    <w:rsid w:val="007B61AB"/>
    <w:rsid w:val="007C28D6"/>
    <w:rsid w:val="007C428F"/>
    <w:rsid w:val="007D51F0"/>
    <w:rsid w:val="007D6C23"/>
    <w:rsid w:val="007D6E02"/>
    <w:rsid w:val="007D7305"/>
    <w:rsid w:val="007E290C"/>
    <w:rsid w:val="007F2C1D"/>
    <w:rsid w:val="007F32D0"/>
    <w:rsid w:val="007F60E1"/>
    <w:rsid w:val="007F670C"/>
    <w:rsid w:val="007F7868"/>
    <w:rsid w:val="00816732"/>
    <w:rsid w:val="00816D2E"/>
    <w:rsid w:val="008208C1"/>
    <w:rsid w:val="00822570"/>
    <w:rsid w:val="0082497E"/>
    <w:rsid w:val="008263FC"/>
    <w:rsid w:val="008268BC"/>
    <w:rsid w:val="00826908"/>
    <w:rsid w:val="00831052"/>
    <w:rsid w:val="00832F1D"/>
    <w:rsid w:val="008333BD"/>
    <w:rsid w:val="008343E2"/>
    <w:rsid w:val="00835BB9"/>
    <w:rsid w:val="00844BF0"/>
    <w:rsid w:val="00845253"/>
    <w:rsid w:val="008475C2"/>
    <w:rsid w:val="00851129"/>
    <w:rsid w:val="008514D8"/>
    <w:rsid w:val="008539D5"/>
    <w:rsid w:val="008540C0"/>
    <w:rsid w:val="00861921"/>
    <w:rsid w:val="0086271C"/>
    <w:rsid w:val="008637EA"/>
    <w:rsid w:val="00864019"/>
    <w:rsid w:val="00866D95"/>
    <w:rsid w:val="0087088D"/>
    <w:rsid w:val="008712CF"/>
    <w:rsid w:val="00876F4C"/>
    <w:rsid w:val="00880116"/>
    <w:rsid w:val="008804E6"/>
    <w:rsid w:val="00881CA9"/>
    <w:rsid w:val="008833E5"/>
    <w:rsid w:val="00885572"/>
    <w:rsid w:val="0089111F"/>
    <w:rsid w:val="00892FF6"/>
    <w:rsid w:val="0089452E"/>
    <w:rsid w:val="0089635F"/>
    <w:rsid w:val="008A310C"/>
    <w:rsid w:val="008A413E"/>
    <w:rsid w:val="008A4539"/>
    <w:rsid w:val="008B065A"/>
    <w:rsid w:val="008B0A1C"/>
    <w:rsid w:val="008B1699"/>
    <w:rsid w:val="008B3C74"/>
    <w:rsid w:val="008C0AA5"/>
    <w:rsid w:val="008C30F9"/>
    <w:rsid w:val="008C56E0"/>
    <w:rsid w:val="008C6529"/>
    <w:rsid w:val="008C6DA7"/>
    <w:rsid w:val="008C70C9"/>
    <w:rsid w:val="008C730B"/>
    <w:rsid w:val="008D52A9"/>
    <w:rsid w:val="008E2AF6"/>
    <w:rsid w:val="008F0F74"/>
    <w:rsid w:val="008F2383"/>
    <w:rsid w:val="008F2D72"/>
    <w:rsid w:val="008F4B5D"/>
    <w:rsid w:val="008F5542"/>
    <w:rsid w:val="008F6B1A"/>
    <w:rsid w:val="008F6E14"/>
    <w:rsid w:val="00901B58"/>
    <w:rsid w:val="00903283"/>
    <w:rsid w:val="00904F51"/>
    <w:rsid w:val="009055BE"/>
    <w:rsid w:val="00905BF7"/>
    <w:rsid w:val="00910AAF"/>
    <w:rsid w:val="00911BC9"/>
    <w:rsid w:val="0091288D"/>
    <w:rsid w:val="00913BE2"/>
    <w:rsid w:val="009176DE"/>
    <w:rsid w:val="00921C4D"/>
    <w:rsid w:val="0092296B"/>
    <w:rsid w:val="00925380"/>
    <w:rsid w:val="00926535"/>
    <w:rsid w:val="00926DCC"/>
    <w:rsid w:val="00932503"/>
    <w:rsid w:val="00932774"/>
    <w:rsid w:val="00935CF9"/>
    <w:rsid w:val="00940483"/>
    <w:rsid w:val="009407A2"/>
    <w:rsid w:val="00947FE5"/>
    <w:rsid w:val="00953048"/>
    <w:rsid w:val="00955FF4"/>
    <w:rsid w:val="00960722"/>
    <w:rsid w:val="00962AEE"/>
    <w:rsid w:val="00963021"/>
    <w:rsid w:val="00965681"/>
    <w:rsid w:val="00967FEF"/>
    <w:rsid w:val="009819D8"/>
    <w:rsid w:val="00982238"/>
    <w:rsid w:val="0098377F"/>
    <w:rsid w:val="00984177"/>
    <w:rsid w:val="00984DEB"/>
    <w:rsid w:val="00984E3E"/>
    <w:rsid w:val="009854A7"/>
    <w:rsid w:val="009911E3"/>
    <w:rsid w:val="00993571"/>
    <w:rsid w:val="00994171"/>
    <w:rsid w:val="009951F3"/>
    <w:rsid w:val="009954B4"/>
    <w:rsid w:val="00995599"/>
    <w:rsid w:val="00995602"/>
    <w:rsid w:val="00995624"/>
    <w:rsid w:val="009A0276"/>
    <w:rsid w:val="009A2820"/>
    <w:rsid w:val="009A2D91"/>
    <w:rsid w:val="009A62E4"/>
    <w:rsid w:val="009A73F2"/>
    <w:rsid w:val="009B1EDE"/>
    <w:rsid w:val="009B4E3D"/>
    <w:rsid w:val="009C064B"/>
    <w:rsid w:val="009C1514"/>
    <w:rsid w:val="009C1804"/>
    <w:rsid w:val="009C2E95"/>
    <w:rsid w:val="009C3927"/>
    <w:rsid w:val="009C7F4D"/>
    <w:rsid w:val="009D0DA6"/>
    <w:rsid w:val="009D15BB"/>
    <w:rsid w:val="009D3AEC"/>
    <w:rsid w:val="009D4518"/>
    <w:rsid w:val="009D4658"/>
    <w:rsid w:val="009D524D"/>
    <w:rsid w:val="009E1860"/>
    <w:rsid w:val="009E43F0"/>
    <w:rsid w:val="009E48C1"/>
    <w:rsid w:val="009F2BB9"/>
    <w:rsid w:val="009F3AFC"/>
    <w:rsid w:val="009F5371"/>
    <w:rsid w:val="009F6A4F"/>
    <w:rsid w:val="00A0077D"/>
    <w:rsid w:val="00A0183D"/>
    <w:rsid w:val="00A101FC"/>
    <w:rsid w:val="00A11694"/>
    <w:rsid w:val="00A12465"/>
    <w:rsid w:val="00A14459"/>
    <w:rsid w:val="00A164AB"/>
    <w:rsid w:val="00A1761A"/>
    <w:rsid w:val="00A17B1E"/>
    <w:rsid w:val="00A233FD"/>
    <w:rsid w:val="00A35E9C"/>
    <w:rsid w:val="00A3646C"/>
    <w:rsid w:val="00A37E79"/>
    <w:rsid w:val="00A37FEB"/>
    <w:rsid w:val="00A41057"/>
    <w:rsid w:val="00A41D87"/>
    <w:rsid w:val="00A430BD"/>
    <w:rsid w:val="00A44565"/>
    <w:rsid w:val="00A45170"/>
    <w:rsid w:val="00A467AB"/>
    <w:rsid w:val="00A4718C"/>
    <w:rsid w:val="00A472C1"/>
    <w:rsid w:val="00A51602"/>
    <w:rsid w:val="00A51A93"/>
    <w:rsid w:val="00A5244A"/>
    <w:rsid w:val="00A53144"/>
    <w:rsid w:val="00A64B26"/>
    <w:rsid w:val="00A654D6"/>
    <w:rsid w:val="00A67914"/>
    <w:rsid w:val="00A71EC2"/>
    <w:rsid w:val="00A74344"/>
    <w:rsid w:val="00A75024"/>
    <w:rsid w:val="00A77616"/>
    <w:rsid w:val="00A8076E"/>
    <w:rsid w:val="00A811C4"/>
    <w:rsid w:val="00A815A1"/>
    <w:rsid w:val="00A823E7"/>
    <w:rsid w:val="00A826F7"/>
    <w:rsid w:val="00A83F59"/>
    <w:rsid w:val="00A8489C"/>
    <w:rsid w:val="00A85A14"/>
    <w:rsid w:val="00A904AF"/>
    <w:rsid w:val="00A93279"/>
    <w:rsid w:val="00A94C74"/>
    <w:rsid w:val="00A9618B"/>
    <w:rsid w:val="00AA018D"/>
    <w:rsid w:val="00AA1F5B"/>
    <w:rsid w:val="00AA2E22"/>
    <w:rsid w:val="00AA5AA2"/>
    <w:rsid w:val="00AA65F1"/>
    <w:rsid w:val="00AA6B8A"/>
    <w:rsid w:val="00AB1CC1"/>
    <w:rsid w:val="00AB3750"/>
    <w:rsid w:val="00AB38B6"/>
    <w:rsid w:val="00AB3A92"/>
    <w:rsid w:val="00AB553C"/>
    <w:rsid w:val="00AC0085"/>
    <w:rsid w:val="00AC171F"/>
    <w:rsid w:val="00AC4EE8"/>
    <w:rsid w:val="00AC5A8D"/>
    <w:rsid w:val="00AC66B8"/>
    <w:rsid w:val="00AD1ED7"/>
    <w:rsid w:val="00AD22DD"/>
    <w:rsid w:val="00AD445B"/>
    <w:rsid w:val="00AE0876"/>
    <w:rsid w:val="00AE7581"/>
    <w:rsid w:val="00B00E7A"/>
    <w:rsid w:val="00B01417"/>
    <w:rsid w:val="00B01EEE"/>
    <w:rsid w:val="00B0271A"/>
    <w:rsid w:val="00B03A5C"/>
    <w:rsid w:val="00B049C4"/>
    <w:rsid w:val="00B07008"/>
    <w:rsid w:val="00B07350"/>
    <w:rsid w:val="00B07726"/>
    <w:rsid w:val="00B10DE7"/>
    <w:rsid w:val="00B113AE"/>
    <w:rsid w:val="00B13B37"/>
    <w:rsid w:val="00B14A1F"/>
    <w:rsid w:val="00B16445"/>
    <w:rsid w:val="00B16EA1"/>
    <w:rsid w:val="00B218E5"/>
    <w:rsid w:val="00B26067"/>
    <w:rsid w:val="00B26C1B"/>
    <w:rsid w:val="00B31B79"/>
    <w:rsid w:val="00B338B6"/>
    <w:rsid w:val="00B346CF"/>
    <w:rsid w:val="00B35B29"/>
    <w:rsid w:val="00B36A00"/>
    <w:rsid w:val="00B37EEA"/>
    <w:rsid w:val="00B41B9E"/>
    <w:rsid w:val="00B47F5B"/>
    <w:rsid w:val="00B47F63"/>
    <w:rsid w:val="00B5262A"/>
    <w:rsid w:val="00B54317"/>
    <w:rsid w:val="00B55743"/>
    <w:rsid w:val="00B56A6C"/>
    <w:rsid w:val="00B61872"/>
    <w:rsid w:val="00B640AD"/>
    <w:rsid w:val="00B65729"/>
    <w:rsid w:val="00B66E98"/>
    <w:rsid w:val="00B71F1B"/>
    <w:rsid w:val="00B742C7"/>
    <w:rsid w:val="00B75756"/>
    <w:rsid w:val="00B831FB"/>
    <w:rsid w:val="00B853E9"/>
    <w:rsid w:val="00B85A79"/>
    <w:rsid w:val="00B8656A"/>
    <w:rsid w:val="00B91F63"/>
    <w:rsid w:val="00B92D6B"/>
    <w:rsid w:val="00B937E6"/>
    <w:rsid w:val="00B93CE3"/>
    <w:rsid w:val="00B94396"/>
    <w:rsid w:val="00B97AAC"/>
    <w:rsid w:val="00B97BCB"/>
    <w:rsid w:val="00BA0FBF"/>
    <w:rsid w:val="00BA75F4"/>
    <w:rsid w:val="00BB5027"/>
    <w:rsid w:val="00BB5B0D"/>
    <w:rsid w:val="00BC00CF"/>
    <w:rsid w:val="00BC0DF1"/>
    <w:rsid w:val="00BC1544"/>
    <w:rsid w:val="00BC4342"/>
    <w:rsid w:val="00BC5174"/>
    <w:rsid w:val="00BD030E"/>
    <w:rsid w:val="00BD63CA"/>
    <w:rsid w:val="00BD67E4"/>
    <w:rsid w:val="00BE031C"/>
    <w:rsid w:val="00BE1F8D"/>
    <w:rsid w:val="00BE2715"/>
    <w:rsid w:val="00BE5F9C"/>
    <w:rsid w:val="00BE6F12"/>
    <w:rsid w:val="00BF3DB6"/>
    <w:rsid w:val="00BF72C8"/>
    <w:rsid w:val="00C00BC5"/>
    <w:rsid w:val="00C014D6"/>
    <w:rsid w:val="00C061A9"/>
    <w:rsid w:val="00C1013C"/>
    <w:rsid w:val="00C131B2"/>
    <w:rsid w:val="00C14B9B"/>
    <w:rsid w:val="00C14ECB"/>
    <w:rsid w:val="00C15A9B"/>
    <w:rsid w:val="00C16F9D"/>
    <w:rsid w:val="00C237B0"/>
    <w:rsid w:val="00C277A5"/>
    <w:rsid w:val="00C45629"/>
    <w:rsid w:val="00C45740"/>
    <w:rsid w:val="00C45D76"/>
    <w:rsid w:val="00C52EDB"/>
    <w:rsid w:val="00C53481"/>
    <w:rsid w:val="00C5412C"/>
    <w:rsid w:val="00C60021"/>
    <w:rsid w:val="00C602DC"/>
    <w:rsid w:val="00C613E6"/>
    <w:rsid w:val="00C62227"/>
    <w:rsid w:val="00C634F7"/>
    <w:rsid w:val="00C64900"/>
    <w:rsid w:val="00C712B4"/>
    <w:rsid w:val="00C71C85"/>
    <w:rsid w:val="00C724DA"/>
    <w:rsid w:val="00C77FD3"/>
    <w:rsid w:val="00C803CD"/>
    <w:rsid w:val="00C83117"/>
    <w:rsid w:val="00C841DC"/>
    <w:rsid w:val="00C861E5"/>
    <w:rsid w:val="00C86C2A"/>
    <w:rsid w:val="00C90033"/>
    <w:rsid w:val="00C921DD"/>
    <w:rsid w:val="00C93710"/>
    <w:rsid w:val="00C94A1C"/>
    <w:rsid w:val="00C963F2"/>
    <w:rsid w:val="00CA2FBB"/>
    <w:rsid w:val="00CA647F"/>
    <w:rsid w:val="00CB027D"/>
    <w:rsid w:val="00CB06E5"/>
    <w:rsid w:val="00CB145E"/>
    <w:rsid w:val="00CB1F1C"/>
    <w:rsid w:val="00CB256D"/>
    <w:rsid w:val="00CB3503"/>
    <w:rsid w:val="00CC24DF"/>
    <w:rsid w:val="00CC2769"/>
    <w:rsid w:val="00CC352A"/>
    <w:rsid w:val="00CC4097"/>
    <w:rsid w:val="00CC4302"/>
    <w:rsid w:val="00CC5FF8"/>
    <w:rsid w:val="00CC6D41"/>
    <w:rsid w:val="00CD077A"/>
    <w:rsid w:val="00CD298F"/>
    <w:rsid w:val="00CD2E0E"/>
    <w:rsid w:val="00CD3BEF"/>
    <w:rsid w:val="00CE032D"/>
    <w:rsid w:val="00CE64CE"/>
    <w:rsid w:val="00CE66F5"/>
    <w:rsid w:val="00CF00C1"/>
    <w:rsid w:val="00CF020F"/>
    <w:rsid w:val="00D005E4"/>
    <w:rsid w:val="00D02FD1"/>
    <w:rsid w:val="00D06162"/>
    <w:rsid w:val="00D074AB"/>
    <w:rsid w:val="00D10028"/>
    <w:rsid w:val="00D13180"/>
    <w:rsid w:val="00D14BBA"/>
    <w:rsid w:val="00D15243"/>
    <w:rsid w:val="00D16BE3"/>
    <w:rsid w:val="00D17FCA"/>
    <w:rsid w:val="00D21E1B"/>
    <w:rsid w:val="00D22D3A"/>
    <w:rsid w:val="00D23973"/>
    <w:rsid w:val="00D31C42"/>
    <w:rsid w:val="00D31D40"/>
    <w:rsid w:val="00D34619"/>
    <w:rsid w:val="00D3508E"/>
    <w:rsid w:val="00D356E5"/>
    <w:rsid w:val="00D3724C"/>
    <w:rsid w:val="00D37805"/>
    <w:rsid w:val="00D40A90"/>
    <w:rsid w:val="00D41B66"/>
    <w:rsid w:val="00D4435B"/>
    <w:rsid w:val="00D4542F"/>
    <w:rsid w:val="00D45B4B"/>
    <w:rsid w:val="00D467A5"/>
    <w:rsid w:val="00D467FC"/>
    <w:rsid w:val="00D52287"/>
    <w:rsid w:val="00D57F0B"/>
    <w:rsid w:val="00D6037D"/>
    <w:rsid w:val="00D6105A"/>
    <w:rsid w:val="00D66EA8"/>
    <w:rsid w:val="00D7054C"/>
    <w:rsid w:val="00D706ED"/>
    <w:rsid w:val="00D71897"/>
    <w:rsid w:val="00D83DB0"/>
    <w:rsid w:val="00D85263"/>
    <w:rsid w:val="00D860B6"/>
    <w:rsid w:val="00D87835"/>
    <w:rsid w:val="00D90A8D"/>
    <w:rsid w:val="00D9185E"/>
    <w:rsid w:val="00D93110"/>
    <w:rsid w:val="00D94160"/>
    <w:rsid w:val="00D94D3B"/>
    <w:rsid w:val="00D95F8F"/>
    <w:rsid w:val="00D96EF0"/>
    <w:rsid w:val="00DA110C"/>
    <w:rsid w:val="00DA3439"/>
    <w:rsid w:val="00DA3D94"/>
    <w:rsid w:val="00DA6BD8"/>
    <w:rsid w:val="00DA6D41"/>
    <w:rsid w:val="00DB0726"/>
    <w:rsid w:val="00DB4746"/>
    <w:rsid w:val="00DB5029"/>
    <w:rsid w:val="00DB6D99"/>
    <w:rsid w:val="00DC02CE"/>
    <w:rsid w:val="00DC55A3"/>
    <w:rsid w:val="00DC64E8"/>
    <w:rsid w:val="00DD2FE1"/>
    <w:rsid w:val="00DE04B9"/>
    <w:rsid w:val="00DE0726"/>
    <w:rsid w:val="00DE1C7E"/>
    <w:rsid w:val="00DE558E"/>
    <w:rsid w:val="00DE5E5B"/>
    <w:rsid w:val="00DE6800"/>
    <w:rsid w:val="00DE7041"/>
    <w:rsid w:val="00DF0E6A"/>
    <w:rsid w:val="00DF1525"/>
    <w:rsid w:val="00DF6BD0"/>
    <w:rsid w:val="00DF7053"/>
    <w:rsid w:val="00E01355"/>
    <w:rsid w:val="00E02C5D"/>
    <w:rsid w:val="00E12CE7"/>
    <w:rsid w:val="00E14687"/>
    <w:rsid w:val="00E14C13"/>
    <w:rsid w:val="00E15BC5"/>
    <w:rsid w:val="00E16245"/>
    <w:rsid w:val="00E1652E"/>
    <w:rsid w:val="00E16B3A"/>
    <w:rsid w:val="00E22B6A"/>
    <w:rsid w:val="00E22FC2"/>
    <w:rsid w:val="00E26ADD"/>
    <w:rsid w:val="00E31EAB"/>
    <w:rsid w:val="00E341BB"/>
    <w:rsid w:val="00E36E7D"/>
    <w:rsid w:val="00E405DE"/>
    <w:rsid w:val="00E41D23"/>
    <w:rsid w:val="00E436A1"/>
    <w:rsid w:val="00E45D09"/>
    <w:rsid w:val="00E45DE1"/>
    <w:rsid w:val="00E45FD1"/>
    <w:rsid w:val="00E51721"/>
    <w:rsid w:val="00E5188A"/>
    <w:rsid w:val="00E52054"/>
    <w:rsid w:val="00E523CD"/>
    <w:rsid w:val="00E53A53"/>
    <w:rsid w:val="00E54775"/>
    <w:rsid w:val="00E56C31"/>
    <w:rsid w:val="00E63F8D"/>
    <w:rsid w:val="00E658B5"/>
    <w:rsid w:val="00E65A05"/>
    <w:rsid w:val="00E66EF2"/>
    <w:rsid w:val="00E71EBF"/>
    <w:rsid w:val="00E72B91"/>
    <w:rsid w:val="00E81CFC"/>
    <w:rsid w:val="00E82005"/>
    <w:rsid w:val="00E84CAE"/>
    <w:rsid w:val="00E85858"/>
    <w:rsid w:val="00E934D8"/>
    <w:rsid w:val="00E93E0E"/>
    <w:rsid w:val="00E9467A"/>
    <w:rsid w:val="00E96358"/>
    <w:rsid w:val="00EA02B3"/>
    <w:rsid w:val="00EA7C6A"/>
    <w:rsid w:val="00EB052A"/>
    <w:rsid w:val="00EB4B20"/>
    <w:rsid w:val="00EC1C18"/>
    <w:rsid w:val="00EC22B6"/>
    <w:rsid w:val="00EC31BE"/>
    <w:rsid w:val="00EC4D4A"/>
    <w:rsid w:val="00EC5C52"/>
    <w:rsid w:val="00EC66B9"/>
    <w:rsid w:val="00EC6C07"/>
    <w:rsid w:val="00ED232A"/>
    <w:rsid w:val="00ED4BA5"/>
    <w:rsid w:val="00ED4D8E"/>
    <w:rsid w:val="00ED5322"/>
    <w:rsid w:val="00ED5F8C"/>
    <w:rsid w:val="00ED6FF5"/>
    <w:rsid w:val="00EE10FD"/>
    <w:rsid w:val="00EE1FB0"/>
    <w:rsid w:val="00EE6A86"/>
    <w:rsid w:val="00EF1B11"/>
    <w:rsid w:val="00EF2BE8"/>
    <w:rsid w:val="00EF550F"/>
    <w:rsid w:val="00EF69E7"/>
    <w:rsid w:val="00F062CC"/>
    <w:rsid w:val="00F0718F"/>
    <w:rsid w:val="00F1673C"/>
    <w:rsid w:val="00F17806"/>
    <w:rsid w:val="00F22208"/>
    <w:rsid w:val="00F23539"/>
    <w:rsid w:val="00F31DE7"/>
    <w:rsid w:val="00F408F5"/>
    <w:rsid w:val="00F42ACC"/>
    <w:rsid w:val="00F43EAB"/>
    <w:rsid w:val="00F4414C"/>
    <w:rsid w:val="00F467BD"/>
    <w:rsid w:val="00F468B3"/>
    <w:rsid w:val="00F525A1"/>
    <w:rsid w:val="00F52702"/>
    <w:rsid w:val="00F55545"/>
    <w:rsid w:val="00F6139A"/>
    <w:rsid w:val="00F61D05"/>
    <w:rsid w:val="00F6581F"/>
    <w:rsid w:val="00F72443"/>
    <w:rsid w:val="00F727D0"/>
    <w:rsid w:val="00F73E46"/>
    <w:rsid w:val="00F748E1"/>
    <w:rsid w:val="00F74F7A"/>
    <w:rsid w:val="00F85AB3"/>
    <w:rsid w:val="00F869B1"/>
    <w:rsid w:val="00F870ED"/>
    <w:rsid w:val="00F8732D"/>
    <w:rsid w:val="00F91426"/>
    <w:rsid w:val="00F936B4"/>
    <w:rsid w:val="00FA1D47"/>
    <w:rsid w:val="00FA421A"/>
    <w:rsid w:val="00FA4EA7"/>
    <w:rsid w:val="00FA5764"/>
    <w:rsid w:val="00FA715F"/>
    <w:rsid w:val="00FA78BC"/>
    <w:rsid w:val="00FB25C0"/>
    <w:rsid w:val="00FB2A87"/>
    <w:rsid w:val="00FB2B26"/>
    <w:rsid w:val="00FB46DF"/>
    <w:rsid w:val="00FB52C1"/>
    <w:rsid w:val="00FC1988"/>
    <w:rsid w:val="00FC748C"/>
    <w:rsid w:val="00FC7729"/>
    <w:rsid w:val="00FC7AF4"/>
    <w:rsid w:val="00FD04F7"/>
    <w:rsid w:val="00FD12C7"/>
    <w:rsid w:val="00FD14B3"/>
    <w:rsid w:val="00FE0742"/>
    <w:rsid w:val="00FE18D6"/>
    <w:rsid w:val="00FE2FAA"/>
    <w:rsid w:val="00FF5237"/>
    <w:rsid w:val="00FF6116"/>
  </w:rsids>
  <m:mathPr>
    <m:mathFont m:val="Cambria Math"/>
    <m:brkBin m:val="before"/>
    <m:brkBinSub m:val="--"/>
    <m:smallFrac/>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4209"/>
    <o:shapelayout v:ext="edit">
      <o:idmap v:ext="edit" data="1"/>
    </o:shapelayout>
  </w:shapeDefaults>
  <w:decimalSymbol w:val=","/>
  <w:listSeparator w:val=";"/>
  <w14:docId w14:val="05D6DA5B"/>
  <w15:docId w15:val="{DD23026C-2016-4946-AA11-391061E0B7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5024"/>
    <w:pPr>
      <w:widowControl w:val="0"/>
      <w:autoSpaceDE w:val="0"/>
      <w:autoSpaceDN w:val="0"/>
      <w:adjustRightInd w:val="0"/>
      <w:spacing w:line="288" w:lineRule="auto"/>
      <w:jc w:val="both"/>
    </w:pPr>
    <w:rPr>
      <w:rFonts w:ascii="Arial" w:hAnsi="Arial" w:cs="Courier New"/>
      <w:sz w:val="22"/>
      <w:szCs w:val="22"/>
    </w:rPr>
  </w:style>
  <w:style w:type="paragraph" w:styleId="Ttulo1">
    <w:name w:val="heading 1"/>
    <w:basedOn w:val="Normal"/>
    <w:next w:val="Normal"/>
    <w:link w:val="Ttulo1Car"/>
    <w:autoRedefine/>
    <w:qFormat/>
    <w:rsid w:val="002B3498"/>
    <w:pPr>
      <w:keepNext/>
      <w:widowControl/>
      <w:numPr>
        <w:numId w:val="2"/>
      </w:numPr>
      <w:suppressAutoHyphens/>
      <w:autoSpaceDE/>
      <w:autoSpaceDN/>
      <w:adjustRightInd/>
      <w:spacing w:line="312" w:lineRule="auto"/>
      <w:outlineLvl w:val="0"/>
    </w:pPr>
    <w:rPr>
      <w:rFonts w:cs="Arial"/>
      <w:b/>
      <w:bCs/>
      <w:caps/>
      <w:u w:val="single"/>
    </w:rPr>
  </w:style>
  <w:style w:type="paragraph" w:styleId="Ttulo2">
    <w:name w:val="heading 2"/>
    <w:aliases w:val="Capítulo"/>
    <w:basedOn w:val="Normal"/>
    <w:next w:val="Normal"/>
    <w:link w:val="Ttulo2Car"/>
    <w:autoRedefine/>
    <w:qFormat/>
    <w:rsid w:val="00206D99"/>
    <w:pPr>
      <w:keepNext/>
      <w:numPr>
        <w:ilvl w:val="1"/>
        <w:numId w:val="2"/>
      </w:numPr>
      <w:outlineLvl w:val="1"/>
    </w:pPr>
    <w:rPr>
      <w:rFonts w:cs="Arial"/>
      <w:b/>
      <w:bCs/>
      <w:iCs/>
      <w:caps/>
      <w:sz w:val="20"/>
      <w:szCs w:val="20"/>
    </w:rPr>
  </w:style>
  <w:style w:type="paragraph" w:styleId="Ttulo3">
    <w:name w:val="heading 3"/>
    <w:basedOn w:val="Normal"/>
    <w:next w:val="Normal"/>
    <w:qFormat/>
    <w:rsid w:val="00FC1988"/>
    <w:pPr>
      <w:keepNext/>
      <w:outlineLvl w:val="2"/>
    </w:pPr>
    <w:rPr>
      <w:rFonts w:cs="Arial"/>
      <w:b/>
      <w:bCs/>
      <w:u w:val="single"/>
    </w:rPr>
  </w:style>
  <w:style w:type="paragraph" w:styleId="Ttulo4">
    <w:name w:val="heading 4"/>
    <w:basedOn w:val="Normal"/>
    <w:next w:val="Normal"/>
    <w:qFormat/>
    <w:rsid w:val="00FC1988"/>
    <w:pPr>
      <w:tabs>
        <w:tab w:val="left" w:pos="709"/>
        <w:tab w:val="left" w:pos="1134"/>
      </w:tabs>
      <w:autoSpaceDE/>
      <w:autoSpaceDN/>
      <w:adjustRightInd/>
      <w:spacing w:line="312" w:lineRule="auto"/>
      <w:jc w:val="left"/>
      <w:outlineLvl w:val="3"/>
    </w:pPr>
    <w:rPr>
      <w:rFonts w:cs="Times New Roman"/>
      <w:b/>
      <w:lang w:val="es-ES_tradnl"/>
    </w:rPr>
  </w:style>
  <w:style w:type="paragraph" w:styleId="Ttulo5">
    <w:name w:val="heading 5"/>
    <w:basedOn w:val="Normal"/>
    <w:next w:val="Normal"/>
    <w:qFormat/>
    <w:rsid w:val="00FC1988"/>
    <w:pPr>
      <w:outlineLvl w:val="4"/>
    </w:pPr>
    <w:rPr>
      <w:bCs/>
      <w:iCs/>
      <w:u w:val="single"/>
    </w:rPr>
  </w:style>
  <w:style w:type="paragraph" w:styleId="Ttulo6">
    <w:name w:val="heading 6"/>
    <w:basedOn w:val="Normal"/>
    <w:next w:val="Normal"/>
    <w:qFormat/>
    <w:rsid w:val="00F61D05"/>
    <w:pPr>
      <w:widowControl/>
      <w:tabs>
        <w:tab w:val="num" w:pos="360"/>
      </w:tabs>
      <w:suppressAutoHyphens/>
      <w:autoSpaceDE/>
      <w:autoSpaceDN/>
      <w:adjustRightInd/>
      <w:spacing w:before="240" w:after="60" w:line="360" w:lineRule="auto"/>
      <w:ind w:left="360" w:hanging="360"/>
      <w:outlineLvl w:val="5"/>
    </w:pPr>
    <w:rPr>
      <w:rFonts w:cs="Times New Roman"/>
      <w:i/>
      <w:szCs w:val="20"/>
      <w:lang w:val="es-ES_tradnl"/>
    </w:rPr>
  </w:style>
  <w:style w:type="paragraph" w:styleId="Ttulo7">
    <w:name w:val="heading 7"/>
    <w:basedOn w:val="Normal"/>
    <w:next w:val="Normal"/>
    <w:qFormat/>
    <w:rsid w:val="00F61D05"/>
    <w:pPr>
      <w:widowControl/>
      <w:tabs>
        <w:tab w:val="num" w:pos="360"/>
      </w:tabs>
      <w:suppressAutoHyphens/>
      <w:autoSpaceDE/>
      <w:autoSpaceDN/>
      <w:adjustRightInd/>
      <w:spacing w:before="240" w:after="60" w:line="360" w:lineRule="auto"/>
      <w:ind w:left="360" w:hanging="360"/>
      <w:outlineLvl w:val="6"/>
    </w:pPr>
    <w:rPr>
      <w:rFonts w:cs="Times New Roman"/>
      <w:sz w:val="20"/>
      <w:szCs w:val="20"/>
      <w:lang w:val="es-ES_tradnl"/>
    </w:rPr>
  </w:style>
  <w:style w:type="paragraph" w:styleId="Ttulo8">
    <w:name w:val="heading 8"/>
    <w:basedOn w:val="Normal"/>
    <w:next w:val="Normal"/>
    <w:qFormat/>
    <w:rsid w:val="00F61D05"/>
    <w:pPr>
      <w:widowControl/>
      <w:tabs>
        <w:tab w:val="num" w:pos="360"/>
      </w:tabs>
      <w:suppressAutoHyphens/>
      <w:autoSpaceDE/>
      <w:autoSpaceDN/>
      <w:adjustRightInd/>
      <w:spacing w:before="240" w:after="60" w:line="360" w:lineRule="auto"/>
      <w:ind w:left="360" w:hanging="360"/>
      <w:outlineLvl w:val="7"/>
    </w:pPr>
    <w:rPr>
      <w:rFonts w:cs="Times New Roman"/>
      <w:i/>
      <w:sz w:val="20"/>
      <w:szCs w:val="20"/>
      <w:lang w:val="es-ES_tradnl"/>
    </w:rPr>
  </w:style>
  <w:style w:type="paragraph" w:styleId="Ttulo9">
    <w:name w:val="heading 9"/>
    <w:basedOn w:val="Normal"/>
    <w:next w:val="Normal"/>
    <w:qFormat/>
    <w:rsid w:val="00F61D05"/>
    <w:pPr>
      <w:widowControl/>
      <w:tabs>
        <w:tab w:val="num" w:pos="360"/>
      </w:tabs>
      <w:suppressAutoHyphens/>
      <w:autoSpaceDE/>
      <w:autoSpaceDN/>
      <w:adjustRightInd/>
      <w:spacing w:before="240" w:after="60" w:line="360" w:lineRule="auto"/>
      <w:ind w:left="360" w:hanging="360"/>
      <w:outlineLvl w:val="8"/>
    </w:pPr>
    <w:rPr>
      <w:rFonts w:cs="Times New Roman"/>
      <w:i/>
      <w:sz w:val="18"/>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1">
    <w:name w:val="toc 1"/>
    <w:basedOn w:val="Normal"/>
    <w:next w:val="Normal"/>
    <w:autoRedefine/>
    <w:uiPriority w:val="39"/>
    <w:rsid w:val="00E405DE"/>
    <w:pPr>
      <w:widowControl/>
      <w:tabs>
        <w:tab w:val="left" w:pos="284"/>
        <w:tab w:val="right" w:leader="dot" w:pos="8505"/>
      </w:tabs>
      <w:overflowPunct w:val="0"/>
      <w:spacing w:before="240" w:line="360" w:lineRule="auto"/>
      <w:ind w:left="567" w:hanging="567"/>
      <w:jc w:val="left"/>
      <w:textAlignment w:val="baseline"/>
    </w:pPr>
    <w:rPr>
      <w:rFonts w:cs="Times New Roman"/>
      <w:caps/>
      <w:noProof/>
      <w:sz w:val="18"/>
      <w:szCs w:val="20"/>
      <w:lang w:val="es-ES_tradnl"/>
    </w:rPr>
  </w:style>
  <w:style w:type="paragraph" w:styleId="TDC2">
    <w:name w:val="toc 2"/>
    <w:basedOn w:val="Normal"/>
    <w:next w:val="Normal"/>
    <w:autoRedefine/>
    <w:uiPriority w:val="39"/>
    <w:rsid w:val="00E405DE"/>
    <w:pPr>
      <w:widowControl/>
      <w:tabs>
        <w:tab w:val="left" w:pos="1134"/>
        <w:tab w:val="right" w:leader="dot" w:pos="8505"/>
      </w:tabs>
      <w:overflowPunct w:val="0"/>
      <w:spacing w:line="360" w:lineRule="auto"/>
      <w:ind w:left="1134" w:hanging="567"/>
      <w:jc w:val="left"/>
      <w:textAlignment w:val="baseline"/>
    </w:pPr>
    <w:rPr>
      <w:rFonts w:cs="Times New Roman"/>
      <w:caps/>
      <w:noProof/>
      <w:sz w:val="18"/>
      <w:szCs w:val="20"/>
      <w:lang w:val="es-ES_tradnl"/>
    </w:rPr>
  </w:style>
  <w:style w:type="paragraph" w:styleId="TDC3">
    <w:name w:val="toc 3"/>
    <w:basedOn w:val="Normal"/>
    <w:next w:val="Normal"/>
    <w:autoRedefine/>
    <w:uiPriority w:val="39"/>
    <w:rsid w:val="00E405DE"/>
    <w:pPr>
      <w:widowControl/>
      <w:tabs>
        <w:tab w:val="right" w:leader="dot" w:pos="8505"/>
      </w:tabs>
      <w:overflowPunct w:val="0"/>
      <w:spacing w:line="360" w:lineRule="auto"/>
      <w:ind w:left="1701" w:right="1276" w:hanging="567"/>
      <w:jc w:val="left"/>
      <w:textAlignment w:val="baseline"/>
    </w:pPr>
    <w:rPr>
      <w:rFonts w:cs="Arial"/>
      <w:noProof/>
      <w:spacing w:val="-3"/>
      <w:sz w:val="18"/>
      <w:szCs w:val="20"/>
      <w:lang w:val="en-US"/>
    </w:rPr>
  </w:style>
  <w:style w:type="paragraph" w:styleId="TDC4">
    <w:name w:val="toc 4"/>
    <w:basedOn w:val="Normal"/>
    <w:next w:val="Normal"/>
    <w:semiHidden/>
    <w:rsid w:val="00BF3DB6"/>
    <w:pPr>
      <w:tabs>
        <w:tab w:val="left" w:leader="dot" w:pos="8121"/>
        <w:tab w:val="right" w:pos="8481"/>
      </w:tabs>
      <w:suppressAutoHyphens/>
      <w:spacing w:line="312" w:lineRule="auto"/>
      <w:ind w:left="2880" w:right="720" w:hanging="720"/>
    </w:pPr>
    <w:rPr>
      <w:rFonts w:ascii="Times" w:hAnsi="Times"/>
      <w:spacing w:val="-3"/>
      <w:lang w:val="en-US"/>
    </w:rPr>
  </w:style>
  <w:style w:type="character" w:styleId="Hipervnculo">
    <w:name w:val="Hyperlink"/>
    <w:uiPriority w:val="99"/>
    <w:rsid w:val="002B2DD3"/>
    <w:rPr>
      <w:color w:val="0000FF"/>
      <w:u w:val="single"/>
    </w:rPr>
  </w:style>
  <w:style w:type="paragraph" w:styleId="Encabezado">
    <w:name w:val="header"/>
    <w:aliases w:val="e"/>
    <w:basedOn w:val="Normal"/>
    <w:link w:val="EncabezadoCar"/>
    <w:rsid w:val="0054754A"/>
    <w:pPr>
      <w:tabs>
        <w:tab w:val="center" w:pos="4252"/>
        <w:tab w:val="right" w:pos="8504"/>
      </w:tabs>
    </w:pPr>
  </w:style>
  <w:style w:type="character" w:customStyle="1" w:styleId="EncabezadoCar">
    <w:name w:val="Encabezado Car"/>
    <w:aliases w:val="e Car"/>
    <w:link w:val="Encabezado"/>
    <w:rsid w:val="00EE10FD"/>
    <w:rPr>
      <w:rFonts w:cs="Courier New"/>
      <w:sz w:val="22"/>
      <w:szCs w:val="22"/>
    </w:rPr>
  </w:style>
  <w:style w:type="paragraph" w:styleId="Piedepgina">
    <w:name w:val="footer"/>
    <w:basedOn w:val="Normal"/>
    <w:link w:val="PiedepginaCar"/>
    <w:rsid w:val="0054754A"/>
    <w:pPr>
      <w:tabs>
        <w:tab w:val="center" w:pos="4252"/>
        <w:tab w:val="right" w:pos="8504"/>
      </w:tabs>
    </w:pPr>
  </w:style>
  <w:style w:type="character" w:customStyle="1" w:styleId="PiedepginaCar">
    <w:name w:val="Pie de página Car"/>
    <w:link w:val="Piedepgina"/>
    <w:rsid w:val="006350BE"/>
    <w:rPr>
      <w:rFonts w:cs="Courier New"/>
      <w:sz w:val="22"/>
      <w:szCs w:val="22"/>
    </w:rPr>
  </w:style>
  <w:style w:type="character" w:styleId="Nmerodepgina">
    <w:name w:val="page number"/>
    <w:basedOn w:val="Fuentedeprrafopredeter"/>
    <w:rsid w:val="0054754A"/>
  </w:style>
  <w:style w:type="paragraph" w:customStyle="1" w:styleId="Estilo4">
    <w:name w:val="Estilo4"/>
    <w:basedOn w:val="Normal"/>
    <w:rsid w:val="008F4B5D"/>
    <w:pPr>
      <w:widowControl/>
      <w:numPr>
        <w:ilvl w:val="1"/>
        <w:numId w:val="1"/>
      </w:numPr>
      <w:suppressAutoHyphens/>
      <w:autoSpaceDE/>
      <w:autoSpaceDN/>
      <w:adjustRightInd/>
      <w:spacing w:line="360" w:lineRule="auto"/>
    </w:pPr>
    <w:rPr>
      <w:rFonts w:cs="Times New Roman"/>
      <w:sz w:val="20"/>
      <w:szCs w:val="20"/>
      <w:lang w:val="es-ES_tradnl"/>
    </w:rPr>
  </w:style>
  <w:style w:type="paragraph" w:customStyle="1" w:styleId="PARRAFOS">
    <w:name w:val="PARRAFOS"/>
    <w:basedOn w:val="Normal"/>
    <w:rsid w:val="00F61D05"/>
    <w:pPr>
      <w:autoSpaceDE/>
      <w:autoSpaceDN/>
      <w:adjustRightInd/>
      <w:spacing w:line="360" w:lineRule="auto"/>
    </w:pPr>
    <w:rPr>
      <w:rFonts w:cs="Times New Roman"/>
      <w:sz w:val="24"/>
      <w:szCs w:val="20"/>
      <w:lang w:val="es-ES_tradnl"/>
    </w:rPr>
  </w:style>
  <w:style w:type="paragraph" w:styleId="Textoindependiente">
    <w:name w:val="Body Text"/>
    <w:basedOn w:val="Normal"/>
    <w:rsid w:val="00F61D05"/>
    <w:pPr>
      <w:tabs>
        <w:tab w:val="left" w:pos="-1440"/>
        <w:tab w:val="left" w:pos="-576"/>
        <w:tab w:val="left" w:pos="0"/>
        <w:tab w:val="left" w:pos="576"/>
        <w:tab w:val="left" w:pos="1152"/>
        <w:tab w:val="left" w:pos="1728"/>
        <w:tab w:val="left" w:pos="2304"/>
        <w:tab w:val="left" w:pos="2880"/>
        <w:tab w:val="left" w:pos="3456"/>
        <w:tab w:val="left" w:pos="4032"/>
        <w:tab w:val="left" w:pos="4608"/>
        <w:tab w:val="left" w:pos="5184"/>
        <w:tab w:val="left" w:pos="5760"/>
        <w:tab w:val="left" w:pos="6336"/>
        <w:tab w:val="left" w:pos="6768"/>
        <w:tab w:val="left" w:pos="7344"/>
        <w:tab w:val="left" w:pos="7920"/>
        <w:tab w:val="left" w:pos="8496"/>
        <w:tab w:val="left" w:pos="9072"/>
        <w:tab w:val="left" w:pos="9648"/>
        <w:tab w:val="left" w:pos="10224"/>
        <w:tab w:val="left" w:pos="10800"/>
        <w:tab w:val="left" w:pos="11376"/>
        <w:tab w:val="left" w:pos="11952"/>
        <w:tab w:val="left" w:pos="12528"/>
        <w:tab w:val="left" w:pos="13104"/>
        <w:tab w:val="left" w:pos="13680"/>
        <w:tab w:val="left" w:pos="14256"/>
        <w:tab w:val="left" w:pos="14832"/>
        <w:tab w:val="left" w:pos="15264"/>
        <w:tab w:val="left" w:pos="15840"/>
        <w:tab w:val="left" w:pos="16416"/>
      </w:tabs>
      <w:autoSpaceDE/>
      <w:autoSpaceDN/>
      <w:adjustRightInd/>
      <w:spacing w:line="240" w:lineRule="auto"/>
    </w:pPr>
    <w:rPr>
      <w:rFonts w:cs="Arial"/>
      <w:snapToGrid w:val="0"/>
      <w:sz w:val="20"/>
      <w:szCs w:val="20"/>
      <w:lang w:val="es-ES_tradnl"/>
    </w:rPr>
  </w:style>
  <w:style w:type="paragraph" w:customStyle="1" w:styleId="EstiloTtulo410pt">
    <w:name w:val="Estilo Título 4 + 10 pt"/>
    <w:basedOn w:val="Ttulo4"/>
    <w:rsid w:val="00F61D05"/>
    <w:pPr>
      <w:tabs>
        <w:tab w:val="clear" w:pos="1134"/>
        <w:tab w:val="num" w:pos="360"/>
      </w:tabs>
      <w:spacing w:line="360" w:lineRule="auto"/>
      <w:ind w:hanging="708"/>
      <w:jc w:val="both"/>
    </w:pPr>
    <w:rPr>
      <w:sz w:val="20"/>
      <w:szCs w:val="20"/>
      <w:u w:val="single"/>
    </w:rPr>
  </w:style>
  <w:style w:type="table" w:styleId="Tablaconcuadrcula">
    <w:name w:val="Table Grid"/>
    <w:basedOn w:val="Tablanormal"/>
    <w:uiPriority w:val="59"/>
    <w:rsid w:val="00F61D05"/>
    <w:pPr>
      <w:suppressAutoHyphens/>
      <w:spacing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8">
    <w:name w:val="toc 8"/>
    <w:basedOn w:val="Normal"/>
    <w:next w:val="Normal"/>
    <w:autoRedefine/>
    <w:semiHidden/>
    <w:rsid w:val="00F61D05"/>
    <w:pPr>
      <w:widowControl/>
      <w:suppressAutoHyphens/>
      <w:autoSpaceDE/>
      <w:autoSpaceDN/>
      <w:adjustRightInd/>
      <w:spacing w:line="360" w:lineRule="auto"/>
      <w:ind w:left="1560"/>
    </w:pPr>
    <w:rPr>
      <w:rFonts w:cs="Times New Roman"/>
      <w:sz w:val="20"/>
      <w:szCs w:val="20"/>
      <w:lang w:val="es-ES_tradnl"/>
    </w:rPr>
  </w:style>
  <w:style w:type="character" w:styleId="Textoennegrita">
    <w:name w:val="Strong"/>
    <w:uiPriority w:val="22"/>
    <w:qFormat/>
    <w:rsid w:val="00F61D05"/>
    <w:rPr>
      <w:b/>
      <w:bCs/>
    </w:rPr>
  </w:style>
  <w:style w:type="paragraph" w:styleId="NormalWeb">
    <w:name w:val="Normal (Web)"/>
    <w:basedOn w:val="Normal"/>
    <w:rsid w:val="00F61D05"/>
    <w:pPr>
      <w:widowControl/>
      <w:autoSpaceDE/>
      <w:autoSpaceDN/>
      <w:adjustRightInd/>
      <w:spacing w:after="100" w:afterAutospacing="1" w:line="240" w:lineRule="auto"/>
      <w:ind w:left="500" w:firstLine="700"/>
      <w:jc w:val="left"/>
    </w:pPr>
    <w:rPr>
      <w:rFonts w:cs="Times New Roman"/>
      <w:sz w:val="24"/>
      <w:szCs w:val="24"/>
    </w:rPr>
  </w:style>
  <w:style w:type="paragraph" w:customStyle="1" w:styleId="ttabla">
    <w:name w:val="ttabla"/>
    <w:basedOn w:val="Normal"/>
    <w:rsid w:val="00F61D05"/>
    <w:pPr>
      <w:widowControl/>
      <w:autoSpaceDE/>
      <w:autoSpaceDN/>
      <w:adjustRightInd/>
      <w:spacing w:after="100" w:afterAutospacing="1" w:line="240" w:lineRule="auto"/>
      <w:ind w:left="500" w:hanging="700"/>
      <w:jc w:val="center"/>
    </w:pPr>
    <w:rPr>
      <w:rFonts w:cs="Times New Roman"/>
      <w:color w:val="FF0000"/>
      <w:sz w:val="24"/>
      <w:szCs w:val="24"/>
    </w:rPr>
  </w:style>
  <w:style w:type="character" w:customStyle="1" w:styleId="primera1">
    <w:name w:val="primera1"/>
    <w:rsid w:val="00F61D05"/>
    <w:rPr>
      <w:b/>
      <w:bCs/>
      <w:color w:val="FF0000"/>
      <w:sz w:val="32"/>
      <w:szCs w:val="32"/>
    </w:rPr>
  </w:style>
  <w:style w:type="character" w:styleId="nfasis">
    <w:name w:val="Emphasis"/>
    <w:qFormat/>
    <w:rsid w:val="00F61D05"/>
    <w:rPr>
      <w:i/>
      <w:iCs/>
    </w:rPr>
  </w:style>
  <w:style w:type="character" w:styleId="Hipervnculovisitado">
    <w:name w:val="FollowedHyperlink"/>
    <w:uiPriority w:val="99"/>
    <w:unhideWhenUsed/>
    <w:rsid w:val="00DE1C7E"/>
    <w:rPr>
      <w:color w:val="800080"/>
      <w:u w:val="single"/>
    </w:rPr>
  </w:style>
  <w:style w:type="paragraph" w:customStyle="1" w:styleId="font5">
    <w:name w:val="font5"/>
    <w:basedOn w:val="Normal"/>
    <w:rsid w:val="00DE1C7E"/>
    <w:pPr>
      <w:widowControl/>
      <w:autoSpaceDE/>
      <w:autoSpaceDN/>
      <w:adjustRightInd/>
      <w:spacing w:before="100" w:beforeAutospacing="1" w:after="100" w:afterAutospacing="1" w:line="240" w:lineRule="auto"/>
      <w:jc w:val="left"/>
    </w:pPr>
    <w:rPr>
      <w:rFonts w:cs="Arial"/>
      <w:b/>
      <w:bCs/>
      <w:sz w:val="16"/>
      <w:szCs w:val="16"/>
    </w:rPr>
  </w:style>
  <w:style w:type="paragraph" w:customStyle="1" w:styleId="font6">
    <w:name w:val="font6"/>
    <w:basedOn w:val="Normal"/>
    <w:rsid w:val="00DE1C7E"/>
    <w:pPr>
      <w:widowControl/>
      <w:autoSpaceDE/>
      <w:autoSpaceDN/>
      <w:adjustRightInd/>
      <w:spacing w:before="100" w:beforeAutospacing="1" w:after="100" w:afterAutospacing="1" w:line="240" w:lineRule="auto"/>
      <w:jc w:val="left"/>
    </w:pPr>
    <w:rPr>
      <w:rFonts w:cs="Arial"/>
      <w:b/>
      <w:bCs/>
      <w:sz w:val="16"/>
      <w:szCs w:val="16"/>
    </w:rPr>
  </w:style>
  <w:style w:type="paragraph" w:customStyle="1" w:styleId="font7">
    <w:name w:val="font7"/>
    <w:basedOn w:val="Normal"/>
    <w:rsid w:val="00DE1C7E"/>
    <w:pPr>
      <w:widowControl/>
      <w:autoSpaceDE/>
      <w:autoSpaceDN/>
      <w:adjustRightInd/>
      <w:spacing w:before="100" w:beforeAutospacing="1" w:after="100" w:afterAutospacing="1" w:line="240" w:lineRule="auto"/>
      <w:jc w:val="left"/>
    </w:pPr>
    <w:rPr>
      <w:rFonts w:ascii="Tahoma" w:hAnsi="Tahoma" w:cs="Tahoma"/>
      <w:b/>
      <w:bCs/>
      <w:color w:val="000000"/>
      <w:sz w:val="16"/>
      <w:szCs w:val="16"/>
    </w:rPr>
  </w:style>
  <w:style w:type="paragraph" w:customStyle="1" w:styleId="font8">
    <w:name w:val="font8"/>
    <w:basedOn w:val="Normal"/>
    <w:rsid w:val="00DE1C7E"/>
    <w:pPr>
      <w:widowControl/>
      <w:autoSpaceDE/>
      <w:autoSpaceDN/>
      <w:adjustRightInd/>
      <w:spacing w:before="100" w:beforeAutospacing="1" w:after="100" w:afterAutospacing="1" w:line="240" w:lineRule="auto"/>
      <w:jc w:val="left"/>
    </w:pPr>
    <w:rPr>
      <w:rFonts w:ascii="Tahoma" w:hAnsi="Tahoma" w:cs="Tahoma"/>
      <w:color w:val="000000"/>
      <w:sz w:val="16"/>
      <w:szCs w:val="16"/>
    </w:rPr>
  </w:style>
  <w:style w:type="paragraph" w:customStyle="1" w:styleId="xl66">
    <w:name w:val="xl66"/>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67">
    <w:name w:val="xl67"/>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68">
    <w:name w:val="xl68"/>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69">
    <w:name w:val="xl69"/>
    <w:basedOn w:val="Normal"/>
    <w:rsid w:val="00DE1C7E"/>
    <w:pPr>
      <w:widowControl/>
      <w:autoSpaceDE/>
      <w:autoSpaceDN/>
      <w:adjustRightInd/>
      <w:spacing w:before="100" w:beforeAutospacing="1" w:after="100" w:afterAutospacing="1" w:line="240" w:lineRule="auto"/>
      <w:jc w:val="left"/>
      <w:textAlignment w:val="center"/>
    </w:pPr>
    <w:rPr>
      <w:rFonts w:cs="Arial"/>
      <w:b/>
      <w:bCs/>
      <w:sz w:val="16"/>
      <w:szCs w:val="16"/>
    </w:rPr>
  </w:style>
  <w:style w:type="paragraph" w:customStyle="1" w:styleId="xl70">
    <w:name w:val="xl70"/>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left"/>
      <w:textAlignment w:val="center"/>
    </w:pPr>
    <w:rPr>
      <w:rFonts w:ascii="Courier" w:hAnsi="Courier" w:cs="Times New Roman"/>
      <w:sz w:val="16"/>
      <w:szCs w:val="16"/>
    </w:rPr>
  </w:style>
  <w:style w:type="paragraph" w:customStyle="1" w:styleId="xl71">
    <w:name w:val="xl71"/>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72">
    <w:name w:val="xl72"/>
    <w:basedOn w:val="Normal"/>
    <w:rsid w:val="00DE1C7E"/>
    <w:pPr>
      <w:widowControl/>
      <w:pBdr>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73">
    <w:name w:val="xl73"/>
    <w:basedOn w:val="Normal"/>
    <w:rsid w:val="00DE1C7E"/>
    <w:pPr>
      <w:widowControl/>
      <w:pBdr>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color w:val="FF0000"/>
      <w:sz w:val="16"/>
      <w:szCs w:val="16"/>
    </w:rPr>
  </w:style>
  <w:style w:type="paragraph" w:customStyle="1" w:styleId="xl74">
    <w:name w:val="xl74"/>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75">
    <w:name w:val="xl75"/>
    <w:basedOn w:val="Normal"/>
    <w:rsid w:val="00DE1C7E"/>
    <w:pPr>
      <w:widowControl/>
      <w:pBdr>
        <w:top w:val="single" w:sz="8" w:space="0" w:color="auto"/>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76">
    <w:name w:val="xl76"/>
    <w:basedOn w:val="Normal"/>
    <w:rsid w:val="00DE1C7E"/>
    <w:pPr>
      <w:widowControl/>
      <w:pBdr>
        <w:top w:val="single" w:sz="8" w:space="0" w:color="auto"/>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77">
    <w:name w:val="xl77"/>
    <w:basedOn w:val="Normal"/>
    <w:rsid w:val="00DE1C7E"/>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78">
    <w:name w:val="xl78"/>
    <w:basedOn w:val="Normal"/>
    <w:rsid w:val="00DE1C7E"/>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79">
    <w:name w:val="xl79"/>
    <w:basedOn w:val="Normal"/>
    <w:rsid w:val="00DE1C7E"/>
    <w:pPr>
      <w:widowControl/>
      <w:autoSpaceDE/>
      <w:autoSpaceDN/>
      <w:adjustRightInd/>
      <w:spacing w:before="100" w:beforeAutospacing="1" w:after="100" w:afterAutospacing="1" w:line="240" w:lineRule="auto"/>
      <w:jc w:val="center"/>
    </w:pPr>
    <w:rPr>
      <w:rFonts w:cs="Arial"/>
      <w:sz w:val="16"/>
      <w:szCs w:val="16"/>
    </w:rPr>
  </w:style>
  <w:style w:type="paragraph" w:customStyle="1" w:styleId="xl80">
    <w:name w:val="xl80"/>
    <w:basedOn w:val="Normal"/>
    <w:rsid w:val="00DE1C7E"/>
    <w:pPr>
      <w:widowControl/>
      <w:autoSpaceDE/>
      <w:autoSpaceDN/>
      <w:adjustRightInd/>
      <w:spacing w:before="100" w:beforeAutospacing="1" w:after="100" w:afterAutospacing="1" w:line="240" w:lineRule="auto"/>
      <w:jc w:val="left"/>
    </w:pPr>
    <w:rPr>
      <w:rFonts w:cs="Arial"/>
      <w:sz w:val="16"/>
      <w:szCs w:val="16"/>
    </w:rPr>
  </w:style>
  <w:style w:type="paragraph" w:customStyle="1" w:styleId="xl81">
    <w:name w:val="xl81"/>
    <w:basedOn w:val="Normal"/>
    <w:rsid w:val="00DE1C7E"/>
    <w:pPr>
      <w:widowControl/>
      <w:autoSpaceDE/>
      <w:autoSpaceDN/>
      <w:adjustRightInd/>
      <w:spacing w:before="100" w:beforeAutospacing="1" w:after="100" w:afterAutospacing="1" w:line="240" w:lineRule="auto"/>
      <w:jc w:val="left"/>
      <w:textAlignment w:val="center"/>
    </w:pPr>
    <w:rPr>
      <w:rFonts w:cs="Arial"/>
      <w:b/>
      <w:bCs/>
      <w:color w:val="FF0000"/>
      <w:sz w:val="16"/>
      <w:szCs w:val="16"/>
    </w:rPr>
  </w:style>
  <w:style w:type="paragraph" w:customStyle="1" w:styleId="xl82">
    <w:name w:val="xl82"/>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83">
    <w:name w:val="xl83"/>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84">
    <w:name w:val="xl84"/>
    <w:basedOn w:val="Normal"/>
    <w:rsid w:val="00DE1C7E"/>
    <w:pPr>
      <w:widowControl/>
      <w:pBdr>
        <w:left w:val="single" w:sz="8" w:space="0" w:color="auto"/>
        <w:right w:val="single" w:sz="8" w:space="0" w:color="auto"/>
      </w:pBdr>
      <w:shd w:val="clear" w:color="000000" w:fill="CCFFFF"/>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85">
    <w:name w:val="xl85"/>
    <w:basedOn w:val="Normal"/>
    <w:rsid w:val="00DE1C7E"/>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b/>
      <w:bCs/>
      <w:color w:val="FF0000"/>
      <w:sz w:val="16"/>
      <w:szCs w:val="16"/>
    </w:rPr>
  </w:style>
  <w:style w:type="paragraph" w:customStyle="1" w:styleId="xl86">
    <w:name w:val="xl86"/>
    <w:basedOn w:val="Normal"/>
    <w:rsid w:val="00DE1C7E"/>
    <w:pPr>
      <w:widowControl/>
      <w:pBdr>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color w:val="FF0000"/>
      <w:sz w:val="16"/>
      <w:szCs w:val="16"/>
    </w:rPr>
  </w:style>
  <w:style w:type="paragraph" w:customStyle="1" w:styleId="xl87">
    <w:name w:val="xl87"/>
    <w:basedOn w:val="Normal"/>
    <w:rsid w:val="00DE1C7E"/>
    <w:pPr>
      <w:widowControl/>
      <w:pBdr>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color w:val="FF0000"/>
      <w:sz w:val="16"/>
      <w:szCs w:val="16"/>
    </w:rPr>
  </w:style>
  <w:style w:type="paragraph" w:customStyle="1" w:styleId="xl88">
    <w:name w:val="xl88"/>
    <w:basedOn w:val="Normal"/>
    <w:rsid w:val="00DE1C7E"/>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89">
    <w:name w:val="xl89"/>
    <w:basedOn w:val="Normal"/>
    <w:rsid w:val="00DE1C7E"/>
    <w:pPr>
      <w:widowControl/>
      <w:pBdr>
        <w:left w:val="single" w:sz="8" w:space="0" w:color="auto"/>
        <w:bottom w:val="single" w:sz="8" w:space="0" w:color="auto"/>
      </w:pBdr>
      <w:shd w:val="clear" w:color="000000" w:fill="C0C0C0"/>
      <w:autoSpaceDE/>
      <w:autoSpaceDN/>
      <w:adjustRightInd/>
      <w:spacing w:before="100" w:beforeAutospacing="1" w:after="100" w:afterAutospacing="1" w:line="240" w:lineRule="auto"/>
      <w:jc w:val="center"/>
    </w:pPr>
    <w:rPr>
      <w:rFonts w:cs="Arial"/>
      <w:b/>
      <w:bCs/>
      <w:sz w:val="16"/>
      <w:szCs w:val="16"/>
    </w:rPr>
  </w:style>
  <w:style w:type="paragraph" w:customStyle="1" w:styleId="xl90">
    <w:name w:val="xl90"/>
    <w:basedOn w:val="Normal"/>
    <w:rsid w:val="00DE1C7E"/>
    <w:pPr>
      <w:widowControl/>
      <w:pBdr>
        <w:bottom w:val="single" w:sz="8" w:space="0" w:color="auto"/>
      </w:pBdr>
      <w:shd w:val="clear" w:color="000000" w:fill="C0C0C0"/>
      <w:autoSpaceDE/>
      <w:autoSpaceDN/>
      <w:adjustRightInd/>
      <w:spacing w:before="100" w:beforeAutospacing="1" w:after="100" w:afterAutospacing="1" w:line="240" w:lineRule="auto"/>
      <w:jc w:val="center"/>
    </w:pPr>
    <w:rPr>
      <w:rFonts w:cs="Arial"/>
      <w:b/>
      <w:bCs/>
      <w:sz w:val="16"/>
      <w:szCs w:val="16"/>
    </w:rPr>
  </w:style>
  <w:style w:type="paragraph" w:customStyle="1" w:styleId="xl91">
    <w:name w:val="xl91"/>
    <w:basedOn w:val="Normal"/>
    <w:rsid w:val="00DE1C7E"/>
    <w:pPr>
      <w:widowControl/>
      <w:pBdr>
        <w:top w:val="single" w:sz="8" w:space="0" w:color="auto"/>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92">
    <w:name w:val="xl92"/>
    <w:basedOn w:val="Normal"/>
    <w:rsid w:val="00DE1C7E"/>
    <w:pPr>
      <w:widowControl/>
      <w:pBdr>
        <w:left w:val="single" w:sz="8" w:space="0" w:color="auto"/>
        <w:bottom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93">
    <w:name w:val="xl93"/>
    <w:basedOn w:val="Normal"/>
    <w:rsid w:val="00DE1C7E"/>
    <w:pPr>
      <w:widowControl/>
      <w:pBdr>
        <w:top w:val="single" w:sz="8" w:space="0" w:color="auto"/>
        <w:left w:val="single" w:sz="8" w:space="0" w:color="auto"/>
        <w:right w:val="single" w:sz="8" w:space="0" w:color="auto"/>
      </w:pBdr>
      <w:shd w:val="clear" w:color="000000" w:fill="C0C0C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94">
    <w:name w:val="xl94"/>
    <w:basedOn w:val="Normal"/>
    <w:rsid w:val="00DE1C7E"/>
    <w:pPr>
      <w:widowControl/>
      <w:pBdr>
        <w:left w:val="single" w:sz="8" w:space="0" w:color="auto"/>
        <w:bottom w:val="single" w:sz="8" w:space="0" w:color="auto"/>
        <w:right w:val="single" w:sz="8" w:space="0" w:color="auto"/>
      </w:pBdr>
      <w:shd w:val="clear" w:color="000000" w:fill="C0C0C0"/>
      <w:autoSpaceDE/>
      <w:autoSpaceDN/>
      <w:adjustRightInd/>
      <w:spacing w:before="100" w:beforeAutospacing="1" w:after="100" w:afterAutospacing="1" w:line="240" w:lineRule="auto"/>
      <w:jc w:val="center"/>
      <w:textAlignment w:val="center"/>
    </w:pPr>
    <w:rPr>
      <w:rFonts w:ascii="Courier" w:hAnsi="Courier" w:cs="Times New Roman"/>
      <w:b/>
      <w:bCs/>
      <w:sz w:val="16"/>
      <w:szCs w:val="16"/>
    </w:rPr>
  </w:style>
  <w:style w:type="paragraph" w:customStyle="1" w:styleId="xl95">
    <w:name w:val="xl95"/>
    <w:basedOn w:val="Normal"/>
    <w:rsid w:val="00DE1C7E"/>
    <w:pPr>
      <w:widowControl/>
      <w:pBdr>
        <w:left w:val="single" w:sz="8" w:space="0" w:color="auto"/>
        <w:bottom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ascii="Courier" w:hAnsi="Courier" w:cs="Times New Roman"/>
      <w:b/>
      <w:bCs/>
      <w:sz w:val="16"/>
      <w:szCs w:val="16"/>
    </w:rPr>
  </w:style>
  <w:style w:type="paragraph" w:customStyle="1" w:styleId="xl96">
    <w:name w:val="xl96"/>
    <w:basedOn w:val="Normal"/>
    <w:rsid w:val="00DE1C7E"/>
    <w:pPr>
      <w:widowControl/>
      <w:pBdr>
        <w:left w:val="single" w:sz="8" w:space="0" w:color="auto"/>
        <w:right w:val="single" w:sz="8" w:space="0" w:color="auto"/>
      </w:pBdr>
      <w:shd w:val="clear" w:color="000000" w:fill="FFC00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97">
    <w:name w:val="xl97"/>
    <w:basedOn w:val="Normal"/>
    <w:rsid w:val="00EA7C6A"/>
    <w:pPr>
      <w:widowControl/>
      <w:pBdr>
        <w:left w:val="single" w:sz="8" w:space="0" w:color="auto"/>
        <w:bottom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ascii="Courier" w:hAnsi="Courier" w:cs="Times New Roman"/>
      <w:b/>
      <w:bCs/>
      <w:sz w:val="16"/>
      <w:szCs w:val="16"/>
    </w:rPr>
  </w:style>
  <w:style w:type="paragraph" w:customStyle="1" w:styleId="xl98">
    <w:name w:val="xl98"/>
    <w:basedOn w:val="Normal"/>
    <w:rsid w:val="00EA7C6A"/>
    <w:pPr>
      <w:widowControl/>
      <w:pBdr>
        <w:top w:val="single" w:sz="8" w:space="0" w:color="auto"/>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99">
    <w:name w:val="xl99"/>
    <w:basedOn w:val="Normal"/>
    <w:rsid w:val="00EA7C6A"/>
    <w:pPr>
      <w:widowControl/>
      <w:pBdr>
        <w:left w:val="single" w:sz="8" w:space="0" w:color="auto"/>
        <w:bottom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ascii="Courier" w:hAnsi="Courier" w:cs="Times New Roman"/>
      <w:b/>
      <w:bCs/>
      <w:sz w:val="16"/>
      <w:szCs w:val="16"/>
    </w:rPr>
  </w:style>
  <w:style w:type="paragraph" w:styleId="Textodeglobo">
    <w:name w:val="Balloon Text"/>
    <w:basedOn w:val="Normal"/>
    <w:link w:val="TextodegloboCar"/>
    <w:uiPriority w:val="99"/>
    <w:rsid w:val="004B2D18"/>
    <w:pPr>
      <w:spacing w:line="240" w:lineRule="auto"/>
    </w:pPr>
    <w:rPr>
      <w:rFonts w:ascii="Tahoma" w:hAnsi="Tahoma" w:cs="Tahoma"/>
      <w:sz w:val="16"/>
      <w:szCs w:val="16"/>
    </w:rPr>
  </w:style>
  <w:style w:type="character" w:customStyle="1" w:styleId="TextodegloboCar">
    <w:name w:val="Texto de globo Car"/>
    <w:link w:val="Textodeglobo"/>
    <w:uiPriority w:val="99"/>
    <w:rsid w:val="004B2D18"/>
    <w:rPr>
      <w:rFonts w:ascii="Tahoma" w:hAnsi="Tahoma" w:cs="Tahoma"/>
      <w:sz w:val="16"/>
      <w:szCs w:val="16"/>
    </w:rPr>
  </w:style>
  <w:style w:type="paragraph" w:styleId="Prrafodelista">
    <w:name w:val="List Paragraph"/>
    <w:basedOn w:val="Normal"/>
    <w:uiPriority w:val="34"/>
    <w:qFormat/>
    <w:rsid w:val="00560B51"/>
    <w:pPr>
      <w:ind w:left="708"/>
    </w:pPr>
  </w:style>
  <w:style w:type="paragraph" w:styleId="Puesto">
    <w:name w:val="Title"/>
    <w:basedOn w:val="Normal"/>
    <w:next w:val="Normal"/>
    <w:link w:val="PuestoCar"/>
    <w:uiPriority w:val="10"/>
    <w:qFormat/>
    <w:rsid w:val="006350BE"/>
    <w:pPr>
      <w:widowControl/>
      <w:pBdr>
        <w:bottom w:val="single" w:sz="8" w:space="4" w:color="4F81BD"/>
      </w:pBdr>
      <w:autoSpaceDE/>
      <w:autoSpaceDN/>
      <w:adjustRightInd/>
      <w:spacing w:after="300" w:line="240" w:lineRule="auto"/>
      <w:contextualSpacing/>
      <w:jc w:val="left"/>
    </w:pPr>
    <w:rPr>
      <w:rFonts w:ascii="Cambria" w:hAnsi="Cambria" w:cs="Times New Roman"/>
      <w:color w:val="17365D"/>
      <w:spacing w:val="5"/>
      <w:kern w:val="28"/>
      <w:sz w:val="52"/>
      <w:szCs w:val="52"/>
      <w:lang w:eastAsia="en-US"/>
    </w:rPr>
  </w:style>
  <w:style w:type="character" w:customStyle="1" w:styleId="PuestoCar">
    <w:name w:val="Puesto Car"/>
    <w:basedOn w:val="Fuentedeprrafopredeter"/>
    <w:link w:val="Puesto"/>
    <w:uiPriority w:val="10"/>
    <w:rsid w:val="006350BE"/>
    <w:rPr>
      <w:rFonts w:ascii="Cambria" w:hAnsi="Cambria"/>
      <w:color w:val="17365D"/>
      <w:spacing w:val="5"/>
      <w:kern w:val="28"/>
      <w:sz w:val="52"/>
      <w:szCs w:val="52"/>
      <w:lang w:eastAsia="en-US"/>
    </w:rPr>
  </w:style>
  <w:style w:type="table" w:customStyle="1" w:styleId="Sombreadoclaro-nfasis11">
    <w:name w:val="Sombreado claro - Énfasis 11"/>
    <w:basedOn w:val="Tablanormal"/>
    <w:uiPriority w:val="60"/>
    <w:rsid w:val="006350BE"/>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2">
    <w:name w:val="Light List Accent 2"/>
    <w:basedOn w:val="Tablanormal"/>
    <w:uiPriority w:val="61"/>
    <w:rsid w:val="006350BE"/>
    <w:rPr>
      <w:rFonts w:ascii="Calibri" w:eastAsia="Calibri" w:hAnsi="Calibri"/>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paragraph" w:styleId="Sinespaciado">
    <w:name w:val="No Spacing"/>
    <w:uiPriority w:val="1"/>
    <w:qFormat/>
    <w:rsid w:val="006350BE"/>
    <w:rPr>
      <w:rFonts w:ascii="Calibri" w:eastAsia="Calibri" w:hAnsi="Calibri"/>
      <w:sz w:val="22"/>
      <w:szCs w:val="22"/>
      <w:lang w:eastAsia="en-US"/>
    </w:rPr>
  </w:style>
  <w:style w:type="character" w:customStyle="1" w:styleId="Ttulo2Car">
    <w:name w:val="Título 2 Car"/>
    <w:aliases w:val="Capítulo Car"/>
    <w:link w:val="Ttulo2"/>
    <w:rsid w:val="00206D99"/>
    <w:rPr>
      <w:rFonts w:ascii="Arial" w:hAnsi="Arial" w:cs="Arial"/>
      <w:b/>
      <w:bCs/>
      <w:iCs/>
      <w:caps/>
    </w:rPr>
  </w:style>
  <w:style w:type="character" w:customStyle="1" w:styleId="Formator01">
    <w:name w:val="Formato rá01"/>
    <w:uiPriority w:val="99"/>
    <w:rsid w:val="0009329D"/>
    <w:rPr>
      <w:rFonts w:ascii="Shruti" w:hAnsi="Shruti" w:cs="Shruti"/>
      <w:color w:val="000000"/>
      <w:sz w:val="16"/>
      <w:szCs w:val="16"/>
    </w:rPr>
  </w:style>
  <w:style w:type="character" w:styleId="Textodelmarcadordeposicin">
    <w:name w:val="Placeholder Text"/>
    <w:basedOn w:val="Fuentedeprrafopredeter"/>
    <w:uiPriority w:val="99"/>
    <w:semiHidden/>
    <w:rsid w:val="00586153"/>
    <w:rPr>
      <w:color w:val="808080"/>
    </w:rPr>
  </w:style>
  <w:style w:type="character" w:customStyle="1" w:styleId="apple-converted-space">
    <w:name w:val="apple-converted-space"/>
    <w:basedOn w:val="Fuentedeprrafopredeter"/>
    <w:rsid w:val="00B92D6B"/>
  </w:style>
  <w:style w:type="character" w:customStyle="1" w:styleId="Ttulo1Car">
    <w:name w:val="Título 1 Car"/>
    <w:basedOn w:val="Fuentedeprrafopredeter"/>
    <w:link w:val="Ttulo1"/>
    <w:rsid w:val="002B3498"/>
    <w:rPr>
      <w:rFonts w:ascii="Arial" w:hAnsi="Arial" w:cs="Arial"/>
      <w:b/>
      <w:bCs/>
      <w:caps/>
      <w:sz w:val="22"/>
      <w:szCs w:val="22"/>
      <w:u w:val="single"/>
    </w:rPr>
  </w:style>
  <w:style w:type="table" w:styleId="Sombreadomedio1-nfasis3">
    <w:name w:val="Medium Shading 1 Accent 3"/>
    <w:basedOn w:val="Tablanormal"/>
    <w:uiPriority w:val="63"/>
    <w:rsid w:val="00B346CF"/>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Listaclara-nfasis3">
    <w:name w:val="Light List Accent 3"/>
    <w:basedOn w:val="Tablanormal"/>
    <w:uiPriority w:val="61"/>
    <w:rsid w:val="00B346CF"/>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6">
    <w:name w:val="Light List Accent 6"/>
    <w:basedOn w:val="Tablanormal"/>
    <w:uiPriority w:val="61"/>
    <w:rsid w:val="00F72443"/>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staclara-nfasis5">
    <w:name w:val="Light List Accent 5"/>
    <w:basedOn w:val="Tablanormal"/>
    <w:uiPriority w:val="61"/>
    <w:rsid w:val="00F72443"/>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ombreadomedio1-nfasis5">
    <w:name w:val="Medium Shading 1 Accent 5"/>
    <w:basedOn w:val="Tablanormal"/>
    <w:uiPriority w:val="63"/>
    <w:rsid w:val="00F72443"/>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customStyle="1" w:styleId="Default">
    <w:name w:val="Default"/>
    <w:rsid w:val="002B3498"/>
    <w:pPr>
      <w:autoSpaceDE w:val="0"/>
      <w:autoSpaceDN w:val="0"/>
      <w:adjustRightInd w:val="0"/>
    </w:pPr>
    <w:rPr>
      <w:rFonts w:ascii="Arimo" w:eastAsiaTheme="minorHAnsi" w:hAnsi="Arimo" w:cs="Arimo"/>
      <w:color w:val="000000"/>
      <w:sz w:val="24"/>
      <w:szCs w:val="24"/>
      <w:lang w:val="es-ES_tradn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860933">
      <w:bodyDiv w:val="1"/>
      <w:marLeft w:val="0"/>
      <w:marRight w:val="0"/>
      <w:marTop w:val="0"/>
      <w:marBottom w:val="0"/>
      <w:divBdr>
        <w:top w:val="none" w:sz="0" w:space="0" w:color="auto"/>
        <w:left w:val="none" w:sz="0" w:space="0" w:color="auto"/>
        <w:bottom w:val="none" w:sz="0" w:space="0" w:color="auto"/>
        <w:right w:val="none" w:sz="0" w:space="0" w:color="auto"/>
      </w:divBdr>
    </w:div>
    <w:div w:id="121308342">
      <w:bodyDiv w:val="1"/>
      <w:marLeft w:val="0"/>
      <w:marRight w:val="0"/>
      <w:marTop w:val="0"/>
      <w:marBottom w:val="0"/>
      <w:divBdr>
        <w:top w:val="none" w:sz="0" w:space="0" w:color="auto"/>
        <w:left w:val="none" w:sz="0" w:space="0" w:color="auto"/>
        <w:bottom w:val="none" w:sz="0" w:space="0" w:color="auto"/>
        <w:right w:val="none" w:sz="0" w:space="0" w:color="auto"/>
      </w:divBdr>
    </w:div>
    <w:div w:id="175316225">
      <w:bodyDiv w:val="1"/>
      <w:marLeft w:val="0"/>
      <w:marRight w:val="0"/>
      <w:marTop w:val="0"/>
      <w:marBottom w:val="0"/>
      <w:divBdr>
        <w:top w:val="none" w:sz="0" w:space="0" w:color="auto"/>
        <w:left w:val="none" w:sz="0" w:space="0" w:color="auto"/>
        <w:bottom w:val="none" w:sz="0" w:space="0" w:color="auto"/>
        <w:right w:val="none" w:sz="0" w:space="0" w:color="auto"/>
      </w:divBdr>
    </w:div>
    <w:div w:id="193078164">
      <w:bodyDiv w:val="1"/>
      <w:marLeft w:val="0"/>
      <w:marRight w:val="0"/>
      <w:marTop w:val="0"/>
      <w:marBottom w:val="0"/>
      <w:divBdr>
        <w:top w:val="none" w:sz="0" w:space="0" w:color="auto"/>
        <w:left w:val="none" w:sz="0" w:space="0" w:color="auto"/>
        <w:bottom w:val="none" w:sz="0" w:space="0" w:color="auto"/>
        <w:right w:val="none" w:sz="0" w:space="0" w:color="auto"/>
      </w:divBdr>
    </w:div>
    <w:div w:id="199241879">
      <w:bodyDiv w:val="1"/>
      <w:marLeft w:val="0"/>
      <w:marRight w:val="0"/>
      <w:marTop w:val="0"/>
      <w:marBottom w:val="0"/>
      <w:divBdr>
        <w:top w:val="none" w:sz="0" w:space="0" w:color="auto"/>
        <w:left w:val="none" w:sz="0" w:space="0" w:color="auto"/>
        <w:bottom w:val="none" w:sz="0" w:space="0" w:color="auto"/>
        <w:right w:val="none" w:sz="0" w:space="0" w:color="auto"/>
      </w:divBdr>
    </w:div>
    <w:div w:id="200021476">
      <w:bodyDiv w:val="1"/>
      <w:marLeft w:val="0"/>
      <w:marRight w:val="0"/>
      <w:marTop w:val="0"/>
      <w:marBottom w:val="0"/>
      <w:divBdr>
        <w:top w:val="none" w:sz="0" w:space="0" w:color="auto"/>
        <w:left w:val="none" w:sz="0" w:space="0" w:color="auto"/>
        <w:bottom w:val="none" w:sz="0" w:space="0" w:color="auto"/>
        <w:right w:val="none" w:sz="0" w:space="0" w:color="auto"/>
      </w:divBdr>
    </w:div>
    <w:div w:id="207882269">
      <w:bodyDiv w:val="1"/>
      <w:marLeft w:val="0"/>
      <w:marRight w:val="0"/>
      <w:marTop w:val="0"/>
      <w:marBottom w:val="0"/>
      <w:divBdr>
        <w:top w:val="none" w:sz="0" w:space="0" w:color="auto"/>
        <w:left w:val="none" w:sz="0" w:space="0" w:color="auto"/>
        <w:bottom w:val="none" w:sz="0" w:space="0" w:color="auto"/>
        <w:right w:val="none" w:sz="0" w:space="0" w:color="auto"/>
      </w:divBdr>
    </w:div>
    <w:div w:id="237790991">
      <w:bodyDiv w:val="1"/>
      <w:marLeft w:val="0"/>
      <w:marRight w:val="0"/>
      <w:marTop w:val="0"/>
      <w:marBottom w:val="0"/>
      <w:divBdr>
        <w:top w:val="none" w:sz="0" w:space="0" w:color="auto"/>
        <w:left w:val="none" w:sz="0" w:space="0" w:color="auto"/>
        <w:bottom w:val="none" w:sz="0" w:space="0" w:color="auto"/>
        <w:right w:val="none" w:sz="0" w:space="0" w:color="auto"/>
      </w:divBdr>
    </w:div>
    <w:div w:id="257295674">
      <w:bodyDiv w:val="1"/>
      <w:marLeft w:val="0"/>
      <w:marRight w:val="0"/>
      <w:marTop w:val="0"/>
      <w:marBottom w:val="0"/>
      <w:divBdr>
        <w:top w:val="none" w:sz="0" w:space="0" w:color="auto"/>
        <w:left w:val="none" w:sz="0" w:space="0" w:color="auto"/>
        <w:bottom w:val="none" w:sz="0" w:space="0" w:color="auto"/>
        <w:right w:val="none" w:sz="0" w:space="0" w:color="auto"/>
      </w:divBdr>
    </w:div>
    <w:div w:id="278150413">
      <w:bodyDiv w:val="1"/>
      <w:marLeft w:val="0"/>
      <w:marRight w:val="0"/>
      <w:marTop w:val="0"/>
      <w:marBottom w:val="0"/>
      <w:divBdr>
        <w:top w:val="none" w:sz="0" w:space="0" w:color="auto"/>
        <w:left w:val="none" w:sz="0" w:space="0" w:color="auto"/>
        <w:bottom w:val="none" w:sz="0" w:space="0" w:color="auto"/>
        <w:right w:val="none" w:sz="0" w:space="0" w:color="auto"/>
      </w:divBdr>
    </w:div>
    <w:div w:id="302852430">
      <w:bodyDiv w:val="1"/>
      <w:marLeft w:val="0"/>
      <w:marRight w:val="0"/>
      <w:marTop w:val="0"/>
      <w:marBottom w:val="0"/>
      <w:divBdr>
        <w:top w:val="none" w:sz="0" w:space="0" w:color="auto"/>
        <w:left w:val="none" w:sz="0" w:space="0" w:color="auto"/>
        <w:bottom w:val="none" w:sz="0" w:space="0" w:color="auto"/>
        <w:right w:val="none" w:sz="0" w:space="0" w:color="auto"/>
      </w:divBdr>
    </w:div>
    <w:div w:id="303856156">
      <w:bodyDiv w:val="1"/>
      <w:marLeft w:val="0"/>
      <w:marRight w:val="0"/>
      <w:marTop w:val="0"/>
      <w:marBottom w:val="0"/>
      <w:divBdr>
        <w:top w:val="none" w:sz="0" w:space="0" w:color="auto"/>
        <w:left w:val="none" w:sz="0" w:space="0" w:color="auto"/>
        <w:bottom w:val="none" w:sz="0" w:space="0" w:color="auto"/>
        <w:right w:val="none" w:sz="0" w:space="0" w:color="auto"/>
      </w:divBdr>
    </w:div>
    <w:div w:id="318771412">
      <w:bodyDiv w:val="1"/>
      <w:marLeft w:val="0"/>
      <w:marRight w:val="0"/>
      <w:marTop w:val="0"/>
      <w:marBottom w:val="0"/>
      <w:divBdr>
        <w:top w:val="none" w:sz="0" w:space="0" w:color="auto"/>
        <w:left w:val="none" w:sz="0" w:space="0" w:color="auto"/>
        <w:bottom w:val="none" w:sz="0" w:space="0" w:color="auto"/>
        <w:right w:val="none" w:sz="0" w:space="0" w:color="auto"/>
      </w:divBdr>
    </w:div>
    <w:div w:id="327438918">
      <w:bodyDiv w:val="1"/>
      <w:marLeft w:val="0"/>
      <w:marRight w:val="0"/>
      <w:marTop w:val="0"/>
      <w:marBottom w:val="0"/>
      <w:divBdr>
        <w:top w:val="none" w:sz="0" w:space="0" w:color="auto"/>
        <w:left w:val="none" w:sz="0" w:space="0" w:color="auto"/>
        <w:bottom w:val="none" w:sz="0" w:space="0" w:color="auto"/>
        <w:right w:val="none" w:sz="0" w:space="0" w:color="auto"/>
      </w:divBdr>
    </w:div>
    <w:div w:id="368799457">
      <w:bodyDiv w:val="1"/>
      <w:marLeft w:val="0"/>
      <w:marRight w:val="0"/>
      <w:marTop w:val="0"/>
      <w:marBottom w:val="0"/>
      <w:divBdr>
        <w:top w:val="none" w:sz="0" w:space="0" w:color="auto"/>
        <w:left w:val="none" w:sz="0" w:space="0" w:color="auto"/>
        <w:bottom w:val="none" w:sz="0" w:space="0" w:color="auto"/>
        <w:right w:val="none" w:sz="0" w:space="0" w:color="auto"/>
      </w:divBdr>
    </w:div>
    <w:div w:id="369689373">
      <w:bodyDiv w:val="1"/>
      <w:marLeft w:val="0"/>
      <w:marRight w:val="0"/>
      <w:marTop w:val="0"/>
      <w:marBottom w:val="0"/>
      <w:divBdr>
        <w:top w:val="none" w:sz="0" w:space="0" w:color="auto"/>
        <w:left w:val="none" w:sz="0" w:space="0" w:color="auto"/>
        <w:bottom w:val="none" w:sz="0" w:space="0" w:color="auto"/>
        <w:right w:val="none" w:sz="0" w:space="0" w:color="auto"/>
      </w:divBdr>
    </w:div>
    <w:div w:id="398212165">
      <w:bodyDiv w:val="1"/>
      <w:marLeft w:val="0"/>
      <w:marRight w:val="0"/>
      <w:marTop w:val="0"/>
      <w:marBottom w:val="0"/>
      <w:divBdr>
        <w:top w:val="none" w:sz="0" w:space="0" w:color="auto"/>
        <w:left w:val="none" w:sz="0" w:space="0" w:color="auto"/>
        <w:bottom w:val="none" w:sz="0" w:space="0" w:color="auto"/>
        <w:right w:val="none" w:sz="0" w:space="0" w:color="auto"/>
      </w:divBdr>
    </w:div>
    <w:div w:id="409231515">
      <w:bodyDiv w:val="1"/>
      <w:marLeft w:val="0"/>
      <w:marRight w:val="0"/>
      <w:marTop w:val="0"/>
      <w:marBottom w:val="0"/>
      <w:divBdr>
        <w:top w:val="none" w:sz="0" w:space="0" w:color="auto"/>
        <w:left w:val="none" w:sz="0" w:space="0" w:color="auto"/>
        <w:bottom w:val="none" w:sz="0" w:space="0" w:color="auto"/>
        <w:right w:val="none" w:sz="0" w:space="0" w:color="auto"/>
      </w:divBdr>
    </w:div>
    <w:div w:id="425418682">
      <w:bodyDiv w:val="1"/>
      <w:marLeft w:val="0"/>
      <w:marRight w:val="0"/>
      <w:marTop w:val="0"/>
      <w:marBottom w:val="0"/>
      <w:divBdr>
        <w:top w:val="none" w:sz="0" w:space="0" w:color="auto"/>
        <w:left w:val="none" w:sz="0" w:space="0" w:color="auto"/>
        <w:bottom w:val="none" w:sz="0" w:space="0" w:color="auto"/>
        <w:right w:val="none" w:sz="0" w:space="0" w:color="auto"/>
      </w:divBdr>
    </w:div>
    <w:div w:id="426317007">
      <w:bodyDiv w:val="1"/>
      <w:marLeft w:val="0"/>
      <w:marRight w:val="0"/>
      <w:marTop w:val="0"/>
      <w:marBottom w:val="0"/>
      <w:divBdr>
        <w:top w:val="none" w:sz="0" w:space="0" w:color="auto"/>
        <w:left w:val="none" w:sz="0" w:space="0" w:color="auto"/>
        <w:bottom w:val="none" w:sz="0" w:space="0" w:color="auto"/>
        <w:right w:val="none" w:sz="0" w:space="0" w:color="auto"/>
      </w:divBdr>
      <w:divsChild>
        <w:div w:id="1971668512">
          <w:marLeft w:val="0"/>
          <w:marRight w:val="0"/>
          <w:marTop w:val="45"/>
          <w:marBottom w:val="0"/>
          <w:divBdr>
            <w:top w:val="none" w:sz="0" w:space="0" w:color="auto"/>
            <w:left w:val="none" w:sz="0" w:space="0" w:color="auto"/>
            <w:bottom w:val="none" w:sz="0" w:space="0" w:color="auto"/>
            <w:right w:val="none" w:sz="0" w:space="0" w:color="auto"/>
          </w:divBdr>
          <w:divsChild>
            <w:div w:id="40331291">
              <w:marLeft w:val="450"/>
              <w:marRight w:val="450"/>
              <w:marTop w:val="75"/>
              <w:marBottom w:val="0"/>
              <w:divBdr>
                <w:top w:val="none" w:sz="0" w:space="0" w:color="auto"/>
                <w:left w:val="none" w:sz="0" w:space="0" w:color="auto"/>
                <w:bottom w:val="none" w:sz="0" w:space="0" w:color="auto"/>
                <w:right w:val="none" w:sz="0" w:space="0" w:color="auto"/>
              </w:divBdr>
              <w:divsChild>
                <w:div w:id="193933001">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448207193">
      <w:bodyDiv w:val="1"/>
      <w:marLeft w:val="0"/>
      <w:marRight w:val="0"/>
      <w:marTop w:val="0"/>
      <w:marBottom w:val="0"/>
      <w:divBdr>
        <w:top w:val="none" w:sz="0" w:space="0" w:color="auto"/>
        <w:left w:val="none" w:sz="0" w:space="0" w:color="auto"/>
        <w:bottom w:val="none" w:sz="0" w:space="0" w:color="auto"/>
        <w:right w:val="none" w:sz="0" w:space="0" w:color="auto"/>
      </w:divBdr>
      <w:divsChild>
        <w:div w:id="1174614345">
          <w:marLeft w:val="0"/>
          <w:marRight w:val="0"/>
          <w:marTop w:val="0"/>
          <w:marBottom w:val="0"/>
          <w:divBdr>
            <w:top w:val="none" w:sz="0" w:space="0" w:color="auto"/>
            <w:left w:val="none" w:sz="0" w:space="0" w:color="auto"/>
            <w:bottom w:val="none" w:sz="0" w:space="0" w:color="auto"/>
            <w:right w:val="none" w:sz="0" w:space="0" w:color="auto"/>
          </w:divBdr>
        </w:div>
        <w:div w:id="1560094550">
          <w:marLeft w:val="0"/>
          <w:marRight w:val="0"/>
          <w:marTop w:val="0"/>
          <w:marBottom w:val="0"/>
          <w:divBdr>
            <w:top w:val="none" w:sz="0" w:space="0" w:color="auto"/>
            <w:left w:val="none" w:sz="0" w:space="0" w:color="auto"/>
            <w:bottom w:val="none" w:sz="0" w:space="0" w:color="auto"/>
            <w:right w:val="none" w:sz="0" w:space="0" w:color="auto"/>
          </w:divBdr>
        </w:div>
        <w:div w:id="815531460">
          <w:marLeft w:val="0"/>
          <w:marRight w:val="0"/>
          <w:marTop w:val="0"/>
          <w:marBottom w:val="0"/>
          <w:divBdr>
            <w:top w:val="none" w:sz="0" w:space="0" w:color="auto"/>
            <w:left w:val="none" w:sz="0" w:space="0" w:color="auto"/>
            <w:bottom w:val="none" w:sz="0" w:space="0" w:color="auto"/>
            <w:right w:val="none" w:sz="0" w:space="0" w:color="auto"/>
          </w:divBdr>
        </w:div>
        <w:div w:id="958073499">
          <w:marLeft w:val="0"/>
          <w:marRight w:val="0"/>
          <w:marTop w:val="0"/>
          <w:marBottom w:val="0"/>
          <w:divBdr>
            <w:top w:val="none" w:sz="0" w:space="0" w:color="auto"/>
            <w:left w:val="none" w:sz="0" w:space="0" w:color="auto"/>
            <w:bottom w:val="none" w:sz="0" w:space="0" w:color="auto"/>
            <w:right w:val="none" w:sz="0" w:space="0" w:color="auto"/>
          </w:divBdr>
        </w:div>
        <w:div w:id="1429079001">
          <w:marLeft w:val="0"/>
          <w:marRight w:val="0"/>
          <w:marTop w:val="0"/>
          <w:marBottom w:val="0"/>
          <w:divBdr>
            <w:top w:val="none" w:sz="0" w:space="0" w:color="auto"/>
            <w:left w:val="none" w:sz="0" w:space="0" w:color="auto"/>
            <w:bottom w:val="none" w:sz="0" w:space="0" w:color="auto"/>
            <w:right w:val="none" w:sz="0" w:space="0" w:color="auto"/>
          </w:divBdr>
        </w:div>
        <w:div w:id="836068530">
          <w:marLeft w:val="0"/>
          <w:marRight w:val="0"/>
          <w:marTop w:val="0"/>
          <w:marBottom w:val="0"/>
          <w:divBdr>
            <w:top w:val="none" w:sz="0" w:space="0" w:color="auto"/>
            <w:left w:val="none" w:sz="0" w:space="0" w:color="auto"/>
            <w:bottom w:val="none" w:sz="0" w:space="0" w:color="auto"/>
            <w:right w:val="none" w:sz="0" w:space="0" w:color="auto"/>
          </w:divBdr>
        </w:div>
        <w:div w:id="898053598">
          <w:marLeft w:val="0"/>
          <w:marRight w:val="0"/>
          <w:marTop w:val="0"/>
          <w:marBottom w:val="0"/>
          <w:divBdr>
            <w:top w:val="none" w:sz="0" w:space="0" w:color="auto"/>
            <w:left w:val="none" w:sz="0" w:space="0" w:color="auto"/>
            <w:bottom w:val="none" w:sz="0" w:space="0" w:color="auto"/>
            <w:right w:val="none" w:sz="0" w:space="0" w:color="auto"/>
          </w:divBdr>
        </w:div>
        <w:div w:id="372463668">
          <w:marLeft w:val="0"/>
          <w:marRight w:val="0"/>
          <w:marTop w:val="0"/>
          <w:marBottom w:val="0"/>
          <w:divBdr>
            <w:top w:val="none" w:sz="0" w:space="0" w:color="auto"/>
            <w:left w:val="none" w:sz="0" w:space="0" w:color="auto"/>
            <w:bottom w:val="none" w:sz="0" w:space="0" w:color="auto"/>
            <w:right w:val="none" w:sz="0" w:space="0" w:color="auto"/>
          </w:divBdr>
        </w:div>
        <w:div w:id="1907716504">
          <w:marLeft w:val="0"/>
          <w:marRight w:val="0"/>
          <w:marTop w:val="0"/>
          <w:marBottom w:val="0"/>
          <w:divBdr>
            <w:top w:val="none" w:sz="0" w:space="0" w:color="auto"/>
            <w:left w:val="none" w:sz="0" w:space="0" w:color="auto"/>
            <w:bottom w:val="none" w:sz="0" w:space="0" w:color="auto"/>
            <w:right w:val="none" w:sz="0" w:space="0" w:color="auto"/>
          </w:divBdr>
        </w:div>
        <w:div w:id="87043571">
          <w:marLeft w:val="0"/>
          <w:marRight w:val="0"/>
          <w:marTop w:val="0"/>
          <w:marBottom w:val="0"/>
          <w:divBdr>
            <w:top w:val="none" w:sz="0" w:space="0" w:color="auto"/>
            <w:left w:val="none" w:sz="0" w:space="0" w:color="auto"/>
            <w:bottom w:val="none" w:sz="0" w:space="0" w:color="auto"/>
            <w:right w:val="none" w:sz="0" w:space="0" w:color="auto"/>
          </w:divBdr>
        </w:div>
        <w:div w:id="1783839831">
          <w:marLeft w:val="0"/>
          <w:marRight w:val="0"/>
          <w:marTop w:val="0"/>
          <w:marBottom w:val="0"/>
          <w:divBdr>
            <w:top w:val="none" w:sz="0" w:space="0" w:color="auto"/>
            <w:left w:val="none" w:sz="0" w:space="0" w:color="auto"/>
            <w:bottom w:val="none" w:sz="0" w:space="0" w:color="auto"/>
            <w:right w:val="none" w:sz="0" w:space="0" w:color="auto"/>
          </w:divBdr>
        </w:div>
        <w:div w:id="1945067063">
          <w:marLeft w:val="0"/>
          <w:marRight w:val="0"/>
          <w:marTop w:val="0"/>
          <w:marBottom w:val="0"/>
          <w:divBdr>
            <w:top w:val="none" w:sz="0" w:space="0" w:color="auto"/>
            <w:left w:val="none" w:sz="0" w:space="0" w:color="auto"/>
            <w:bottom w:val="none" w:sz="0" w:space="0" w:color="auto"/>
            <w:right w:val="none" w:sz="0" w:space="0" w:color="auto"/>
          </w:divBdr>
        </w:div>
        <w:div w:id="259072462">
          <w:marLeft w:val="0"/>
          <w:marRight w:val="0"/>
          <w:marTop w:val="0"/>
          <w:marBottom w:val="0"/>
          <w:divBdr>
            <w:top w:val="none" w:sz="0" w:space="0" w:color="auto"/>
            <w:left w:val="none" w:sz="0" w:space="0" w:color="auto"/>
            <w:bottom w:val="none" w:sz="0" w:space="0" w:color="auto"/>
            <w:right w:val="none" w:sz="0" w:space="0" w:color="auto"/>
          </w:divBdr>
        </w:div>
        <w:div w:id="1708331806">
          <w:marLeft w:val="0"/>
          <w:marRight w:val="0"/>
          <w:marTop w:val="0"/>
          <w:marBottom w:val="0"/>
          <w:divBdr>
            <w:top w:val="none" w:sz="0" w:space="0" w:color="auto"/>
            <w:left w:val="none" w:sz="0" w:space="0" w:color="auto"/>
            <w:bottom w:val="none" w:sz="0" w:space="0" w:color="auto"/>
            <w:right w:val="none" w:sz="0" w:space="0" w:color="auto"/>
          </w:divBdr>
        </w:div>
        <w:div w:id="1643467160">
          <w:marLeft w:val="0"/>
          <w:marRight w:val="0"/>
          <w:marTop w:val="0"/>
          <w:marBottom w:val="0"/>
          <w:divBdr>
            <w:top w:val="none" w:sz="0" w:space="0" w:color="auto"/>
            <w:left w:val="none" w:sz="0" w:space="0" w:color="auto"/>
            <w:bottom w:val="none" w:sz="0" w:space="0" w:color="auto"/>
            <w:right w:val="none" w:sz="0" w:space="0" w:color="auto"/>
          </w:divBdr>
        </w:div>
        <w:div w:id="1114983416">
          <w:marLeft w:val="0"/>
          <w:marRight w:val="0"/>
          <w:marTop w:val="0"/>
          <w:marBottom w:val="0"/>
          <w:divBdr>
            <w:top w:val="none" w:sz="0" w:space="0" w:color="auto"/>
            <w:left w:val="none" w:sz="0" w:space="0" w:color="auto"/>
            <w:bottom w:val="none" w:sz="0" w:space="0" w:color="auto"/>
            <w:right w:val="none" w:sz="0" w:space="0" w:color="auto"/>
          </w:divBdr>
        </w:div>
        <w:div w:id="416560646">
          <w:marLeft w:val="0"/>
          <w:marRight w:val="0"/>
          <w:marTop w:val="0"/>
          <w:marBottom w:val="0"/>
          <w:divBdr>
            <w:top w:val="none" w:sz="0" w:space="0" w:color="auto"/>
            <w:left w:val="none" w:sz="0" w:space="0" w:color="auto"/>
            <w:bottom w:val="none" w:sz="0" w:space="0" w:color="auto"/>
            <w:right w:val="none" w:sz="0" w:space="0" w:color="auto"/>
          </w:divBdr>
        </w:div>
        <w:div w:id="279340948">
          <w:marLeft w:val="0"/>
          <w:marRight w:val="0"/>
          <w:marTop w:val="0"/>
          <w:marBottom w:val="0"/>
          <w:divBdr>
            <w:top w:val="none" w:sz="0" w:space="0" w:color="auto"/>
            <w:left w:val="none" w:sz="0" w:space="0" w:color="auto"/>
            <w:bottom w:val="none" w:sz="0" w:space="0" w:color="auto"/>
            <w:right w:val="none" w:sz="0" w:space="0" w:color="auto"/>
          </w:divBdr>
        </w:div>
        <w:div w:id="1341391216">
          <w:marLeft w:val="0"/>
          <w:marRight w:val="0"/>
          <w:marTop w:val="0"/>
          <w:marBottom w:val="0"/>
          <w:divBdr>
            <w:top w:val="none" w:sz="0" w:space="0" w:color="auto"/>
            <w:left w:val="none" w:sz="0" w:space="0" w:color="auto"/>
            <w:bottom w:val="none" w:sz="0" w:space="0" w:color="auto"/>
            <w:right w:val="none" w:sz="0" w:space="0" w:color="auto"/>
          </w:divBdr>
        </w:div>
        <w:div w:id="896476526">
          <w:marLeft w:val="0"/>
          <w:marRight w:val="0"/>
          <w:marTop w:val="0"/>
          <w:marBottom w:val="0"/>
          <w:divBdr>
            <w:top w:val="none" w:sz="0" w:space="0" w:color="auto"/>
            <w:left w:val="none" w:sz="0" w:space="0" w:color="auto"/>
            <w:bottom w:val="none" w:sz="0" w:space="0" w:color="auto"/>
            <w:right w:val="none" w:sz="0" w:space="0" w:color="auto"/>
          </w:divBdr>
        </w:div>
        <w:div w:id="2047750812">
          <w:marLeft w:val="0"/>
          <w:marRight w:val="0"/>
          <w:marTop w:val="0"/>
          <w:marBottom w:val="0"/>
          <w:divBdr>
            <w:top w:val="none" w:sz="0" w:space="0" w:color="auto"/>
            <w:left w:val="none" w:sz="0" w:space="0" w:color="auto"/>
            <w:bottom w:val="none" w:sz="0" w:space="0" w:color="auto"/>
            <w:right w:val="none" w:sz="0" w:space="0" w:color="auto"/>
          </w:divBdr>
        </w:div>
        <w:div w:id="612441907">
          <w:marLeft w:val="0"/>
          <w:marRight w:val="0"/>
          <w:marTop w:val="0"/>
          <w:marBottom w:val="0"/>
          <w:divBdr>
            <w:top w:val="none" w:sz="0" w:space="0" w:color="auto"/>
            <w:left w:val="none" w:sz="0" w:space="0" w:color="auto"/>
            <w:bottom w:val="none" w:sz="0" w:space="0" w:color="auto"/>
            <w:right w:val="none" w:sz="0" w:space="0" w:color="auto"/>
          </w:divBdr>
        </w:div>
        <w:div w:id="2123645500">
          <w:marLeft w:val="0"/>
          <w:marRight w:val="0"/>
          <w:marTop w:val="0"/>
          <w:marBottom w:val="0"/>
          <w:divBdr>
            <w:top w:val="none" w:sz="0" w:space="0" w:color="auto"/>
            <w:left w:val="none" w:sz="0" w:space="0" w:color="auto"/>
            <w:bottom w:val="none" w:sz="0" w:space="0" w:color="auto"/>
            <w:right w:val="none" w:sz="0" w:space="0" w:color="auto"/>
          </w:divBdr>
        </w:div>
        <w:div w:id="617836628">
          <w:marLeft w:val="0"/>
          <w:marRight w:val="0"/>
          <w:marTop w:val="0"/>
          <w:marBottom w:val="0"/>
          <w:divBdr>
            <w:top w:val="none" w:sz="0" w:space="0" w:color="auto"/>
            <w:left w:val="none" w:sz="0" w:space="0" w:color="auto"/>
            <w:bottom w:val="none" w:sz="0" w:space="0" w:color="auto"/>
            <w:right w:val="none" w:sz="0" w:space="0" w:color="auto"/>
          </w:divBdr>
        </w:div>
        <w:div w:id="1974408037">
          <w:marLeft w:val="0"/>
          <w:marRight w:val="0"/>
          <w:marTop w:val="0"/>
          <w:marBottom w:val="0"/>
          <w:divBdr>
            <w:top w:val="none" w:sz="0" w:space="0" w:color="auto"/>
            <w:left w:val="none" w:sz="0" w:space="0" w:color="auto"/>
            <w:bottom w:val="none" w:sz="0" w:space="0" w:color="auto"/>
            <w:right w:val="none" w:sz="0" w:space="0" w:color="auto"/>
          </w:divBdr>
        </w:div>
        <w:div w:id="106896195">
          <w:marLeft w:val="0"/>
          <w:marRight w:val="0"/>
          <w:marTop w:val="0"/>
          <w:marBottom w:val="0"/>
          <w:divBdr>
            <w:top w:val="none" w:sz="0" w:space="0" w:color="auto"/>
            <w:left w:val="none" w:sz="0" w:space="0" w:color="auto"/>
            <w:bottom w:val="none" w:sz="0" w:space="0" w:color="auto"/>
            <w:right w:val="none" w:sz="0" w:space="0" w:color="auto"/>
          </w:divBdr>
        </w:div>
        <w:div w:id="1631014277">
          <w:marLeft w:val="0"/>
          <w:marRight w:val="0"/>
          <w:marTop w:val="0"/>
          <w:marBottom w:val="0"/>
          <w:divBdr>
            <w:top w:val="none" w:sz="0" w:space="0" w:color="auto"/>
            <w:left w:val="none" w:sz="0" w:space="0" w:color="auto"/>
            <w:bottom w:val="none" w:sz="0" w:space="0" w:color="auto"/>
            <w:right w:val="none" w:sz="0" w:space="0" w:color="auto"/>
          </w:divBdr>
        </w:div>
        <w:div w:id="57363278">
          <w:marLeft w:val="0"/>
          <w:marRight w:val="0"/>
          <w:marTop w:val="0"/>
          <w:marBottom w:val="0"/>
          <w:divBdr>
            <w:top w:val="none" w:sz="0" w:space="0" w:color="auto"/>
            <w:left w:val="none" w:sz="0" w:space="0" w:color="auto"/>
            <w:bottom w:val="none" w:sz="0" w:space="0" w:color="auto"/>
            <w:right w:val="none" w:sz="0" w:space="0" w:color="auto"/>
          </w:divBdr>
        </w:div>
        <w:div w:id="388575624">
          <w:marLeft w:val="0"/>
          <w:marRight w:val="0"/>
          <w:marTop w:val="0"/>
          <w:marBottom w:val="0"/>
          <w:divBdr>
            <w:top w:val="none" w:sz="0" w:space="0" w:color="auto"/>
            <w:left w:val="none" w:sz="0" w:space="0" w:color="auto"/>
            <w:bottom w:val="none" w:sz="0" w:space="0" w:color="auto"/>
            <w:right w:val="none" w:sz="0" w:space="0" w:color="auto"/>
          </w:divBdr>
        </w:div>
        <w:div w:id="1291590690">
          <w:marLeft w:val="0"/>
          <w:marRight w:val="0"/>
          <w:marTop w:val="0"/>
          <w:marBottom w:val="0"/>
          <w:divBdr>
            <w:top w:val="none" w:sz="0" w:space="0" w:color="auto"/>
            <w:left w:val="none" w:sz="0" w:space="0" w:color="auto"/>
            <w:bottom w:val="none" w:sz="0" w:space="0" w:color="auto"/>
            <w:right w:val="none" w:sz="0" w:space="0" w:color="auto"/>
          </w:divBdr>
        </w:div>
        <w:div w:id="1459181423">
          <w:marLeft w:val="0"/>
          <w:marRight w:val="0"/>
          <w:marTop w:val="0"/>
          <w:marBottom w:val="0"/>
          <w:divBdr>
            <w:top w:val="none" w:sz="0" w:space="0" w:color="auto"/>
            <w:left w:val="none" w:sz="0" w:space="0" w:color="auto"/>
            <w:bottom w:val="none" w:sz="0" w:space="0" w:color="auto"/>
            <w:right w:val="none" w:sz="0" w:space="0" w:color="auto"/>
          </w:divBdr>
        </w:div>
        <w:div w:id="1639993152">
          <w:marLeft w:val="0"/>
          <w:marRight w:val="0"/>
          <w:marTop w:val="0"/>
          <w:marBottom w:val="0"/>
          <w:divBdr>
            <w:top w:val="none" w:sz="0" w:space="0" w:color="auto"/>
            <w:left w:val="none" w:sz="0" w:space="0" w:color="auto"/>
            <w:bottom w:val="none" w:sz="0" w:space="0" w:color="auto"/>
            <w:right w:val="none" w:sz="0" w:space="0" w:color="auto"/>
          </w:divBdr>
        </w:div>
        <w:div w:id="1538198462">
          <w:marLeft w:val="0"/>
          <w:marRight w:val="0"/>
          <w:marTop w:val="0"/>
          <w:marBottom w:val="0"/>
          <w:divBdr>
            <w:top w:val="none" w:sz="0" w:space="0" w:color="auto"/>
            <w:left w:val="none" w:sz="0" w:space="0" w:color="auto"/>
            <w:bottom w:val="none" w:sz="0" w:space="0" w:color="auto"/>
            <w:right w:val="none" w:sz="0" w:space="0" w:color="auto"/>
          </w:divBdr>
        </w:div>
        <w:div w:id="132406068">
          <w:marLeft w:val="0"/>
          <w:marRight w:val="0"/>
          <w:marTop w:val="0"/>
          <w:marBottom w:val="0"/>
          <w:divBdr>
            <w:top w:val="none" w:sz="0" w:space="0" w:color="auto"/>
            <w:left w:val="none" w:sz="0" w:space="0" w:color="auto"/>
            <w:bottom w:val="none" w:sz="0" w:space="0" w:color="auto"/>
            <w:right w:val="none" w:sz="0" w:space="0" w:color="auto"/>
          </w:divBdr>
        </w:div>
        <w:div w:id="1912277727">
          <w:marLeft w:val="0"/>
          <w:marRight w:val="0"/>
          <w:marTop w:val="0"/>
          <w:marBottom w:val="0"/>
          <w:divBdr>
            <w:top w:val="none" w:sz="0" w:space="0" w:color="auto"/>
            <w:left w:val="none" w:sz="0" w:space="0" w:color="auto"/>
            <w:bottom w:val="none" w:sz="0" w:space="0" w:color="auto"/>
            <w:right w:val="none" w:sz="0" w:space="0" w:color="auto"/>
          </w:divBdr>
        </w:div>
        <w:div w:id="533343903">
          <w:marLeft w:val="0"/>
          <w:marRight w:val="0"/>
          <w:marTop w:val="0"/>
          <w:marBottom w:val="0"/>
          <w:divBdr>
            <w:top w:val="none" w:sz="0" w:space="0" w:color="auto"/>
            <w:left w:val="none" w:sz="0" w:space="0" w:color="auto"/>
            <w:bottom w:val="none" w:sz="0" w:space="0" w:color="auto"/>
            <w:right w:val="none" w:sz="0" w:space="0" w:color="auto"/>
          </w:divBdr>
        </w:div>
        <w:div w:id="307171740">
          <w:marLeft w:val="0"/>
          <w:marRight w:val="0"/>
          <w:marTop w:val="0"/>
          <w:marBottom w:val="0"/>
          <w:divBdr>
            <w:top w:val="none" w:sz="0" w:space="0" w:color="auto"/>
            <w:left w:val="none" w:sz="0" w:space="0" w:color="auto"/>
            <w:bottom w:val="none" w:sz="0" w:space="0" w:color="auto"/>
            <w:right w:val="none" w:sz="0" w:space="0" w:color="auto"/>
          </w:divBdr>
        </w:div>
        <w:div w:id="148596699">
          <w:marLeft w:val="0"/>
          <w:marRight w:val="0"/>
          <w:marTop w:val="0"/>
          <w:marBottom w:val="0"/>
          <w:divBdr>
            <w:top w:val="none" w:sz="0" w:space="0" w:color="auto"/>
            <w:left w:val="none" w:sz="0" w:space="0" w:color="auto"/>
            <w:bottom w:val="none" w:sz="0" w:space="0" w:color="auto"/>
            <w:right w:val="none" w:sz="0" w:space="0" w:color="auto"/>
          </w:divBdr>
        </w:div>
        <w:div w:id="1898856671">
          <w:marLeft w:val="0"/>
          <w:marRight w:val="0"/>
          <w:marTop w:val="0"/>
          <w:marBottom w:val="0"/>
          <w:divBdr>
            <w:top w:val="none" w:sz="0" w:space="0" w:color="auto"/>
            <w:left w:val="none" w:sz="0" w:space="0" w:color="auto"/>
            <w:bottom w:val="none" w:sz="0" w:space="0" w:color="auto"/>
            <w:right w:val="none" w:sz="0" w:space="0" w:color="auto"/>
          </w:divBdr>
        </w:div>
        <w:div w:id="1113087256">
          <w:marLeft w:val="0"/>
          <w:marRight w:val="0"/>
          <w:marTop w:val="0"/>
          <w:marBottom w:val="0"/>
          <w:divBdr>
            <w:top w:val="none" w:sz="0" w:space="0" w:color="auto"/>
            <w:left w:val="none" w:sz="0" w:space="0" w:color="auto"/>
            <w:bottom w:val="none" w:sz="0" w:space="0" w:color="auto"/>
            <w:right w:val="none" w:sz="0" w:space="0" w:color="auto"/>
          </w:divBdr>
        </w:div>
        <w:div w:id="220755634">
          <w:marLeft w:val="0"/>
          <w:marRight w:val="0"/>
          <w:marTop w:val="0"/>
          <w:marBottom w:val="0"/>
          <w:divBdr>
            <w:top w:val="none" w:sz="0" w:space="0" w:color="auto"/>
            <w:left w:val="none" w:sz="0" w:space="0" w:color="auto"/>
            <w:bottom w:val="none" w:sz="0" w:space="0" w:color="auto"/>
            <w:right w:val="none" w:sz="0" w:space="0" w:color="auto"/>
          </w:divBdr>
        </w:div>
        <w:div w:id="592668999">
          <w:marLeft w:val="0"/>
          <w:marRight w:val="0"/>
          <w:marTop w:val="0"/>
          <w:marBottom w:val="0"/>
          <w:divBdr>
            <w:top w:val="none" w:sz="0" w:space="0" w:color="auto"/>
            <w:left w:val="none" w:sz="0" w:space="0" w:color="auto"/>
            <w:bottom w:val="none" w:sz="0" w:space="0" w:color="auto"/>
            <w:right w:val="none" w:sz="0" w:space="0" w:color="auto"/>
          </w:divBdr>
        </w:div>
        <w:div w:id="1941643820">
          <w:marLeft w:val="0"/>
          <w:marRight w:val="0"/>
          <w:marTop w:val="0"/>
          <w:marBottom w:val="0"/>
          <w:divBdr>
            <w:top w:val="none" w:sz="0" w:space="0" w:color="auto"/>
            <w:left w:val="none" w:sz="0" w:space="0" w:color="auto"/>
            <w:bottom w:val="none" w:sz="0" w:space="0" w:color="auto"/>
            <w:right w:val="none" w:sz="0" w:space="0" w:color="auto"/>
          </w:divBdr>
        </w:div>
        <w:div w:id="55931818">
          <w:marLeft w:val="0"/>
          <w:marRight w:val="0"/>
          <w:marTop w:val="0"/>
          <w:marBottom w:val="0"/>
          <w:divBdr>
            <w:top w:val="none" w:sz="0" w:space="0" w:color="auto"/>
            <w:left w:val="none" w:sz="0" w:space="0" w:color="auto"/>
            <w:bottom w:val="none" w:sz="0" w:space="0" w:color="auto"/>
            <w:right w:val="none" w:sz="0" w:space="0" w:color="auto"/>
          </w:divBdr>
        </w:div>
        <w:div w:id="2037189625">
          <w:marLeft w:val="0"/>
          <w:marRight w:val="0"/>
          <w:marTop w:val="0"/>
          <w:marBottom w:val="0"/>
          <w:divBdr>
            <w:top w:val="none" w:sz="0" w:space="0" w:color="auto"/>
            <w:left w:val="none" w:sz="0" w:space="0" w:color="auto"/>
            <w:bottom w:val="none" w:sz="0" w:space="0" w:color="auto"/>
            <w:right w:val="none" w:sz="0" w:space="0" w:color="auto"/>
          </w:divBdr>
        </w:div>
        <w:div w:id="1292635747">
          <w:marLeft w:val="0"/>
          <w:marRight w:val="0"/>
          <w:marTop w:val="0"/>
          <w:marBottom w:val="0"/>
          <w:divBdr>
            <w:top w:val="none" w:sz="0" w:space="0" w:color="auto"/>
            <w:left w:val="none" w:sz="0" w:space="0" w:color="auto"/>
            <w:bottom w:val="none" w:sz="0" w:space="0" w:color="auto"/>
            <w:right w:val="none" w:sz="0" w:space="0" w:color="auto"/>
          </w:divBdr>
        </w:div>
        <w:div w:id="1943997377">
          <w:marLeft w:val="0"/>
          <w:marRight w:val="0"/>
          <w:marTop w:val="0"/>
          <w:marBottom w:val="0"/>
          <w:divBdr>
            <w:top w:val="none" w:sz="0" w:space="0" w:color="auto"/>
            <w:left w:val="none" w:sz="0" w:space="0" w:color="auto"/>
            <w:bottom w:val="none" w:sz="0" w:space="0" w:color="auto"/>
            <w:right w:val="none" w:sz="0" w:space="0" w:color="auto"/>
          </w:divBdr>
        </w:div>
        <w:div w:id="1700859251">
          <w:marLeft w:val="0"/>
          <w:marRight w:val="0"/>
          <w:marTop w:val="0"/>
          <w:marBottom w:val="0"/>
          <w:divBdr>
            <w:top w:val="none" w:sz="0" w:space="0" w:color="auto"/>
            <w:left w:val="none" w:sz="0" w:space="0" w:color="auto"/>
            <w:bottom w:val="none" w:sz="0" w:space="0" w:color="auto"/>
            <w:right w:val="none" w:sz="0" w:space="0" w:color="auto"/>
          </w:divBdr>
        </w:div>
        <w:div w:id="2004239899">
          <w:marLeft w:val="0"/>
          <w:marRight w:val="0"/>
          <w:marTop w:val="0"/>
          <w:marBottom w:val="0"/>
          <w:divBdr>
            <w:top w:val="none" w:sz="0" w:space="0" w:color="auto"/>
            <w:left w:val="none" w:sz="0" w:space="0" w:color="auto"/>
            <w:bottom w:val="none" w:sz="0" w:space="0" w:color="auto"/>
            <w:right w:val="none" w:sz="0" w:space="0" w:color="auto"/>
          </w:divBdr>
        </w:div>
        <w:div w:id="471479852">
          <w:marLeft w:val="0"/>
          <w:marRight w:val="0"/>
          <w:marTop w:val="0"/>
          <w:marBottom w:val="0"/>
          <w:divBdr>
            <w:top w:val="none" w:sz="0" w:space="0" w:color="auto"/>
            <w:left w:val="none" w:sz="0" w:space="0" w:color="auto"/>
            <w:bottom w:val="none" w:sz="0" w:space="0" w:color="auto"/>
            <w:right w:val="none" w:sz="0" w:space="0" w:color="auto"/>
          </w:divBdr>
        </w:div>
        <w:div w:id="1155027897">
          <w:marLeft w:val="0"/>
          <w:marRight w:val="0"/>
          <w:marTop w:val="0"/>
          <w:marBottom w:val="0"/>
          <w:divBdr>
            <w:top w:val="none" w:sz="0" w:space="0" w:color="auto"/>
            <w:left w:val="none" w:sz="0" w:space="0" w:color="auto"/>
            <w:bottom w:val="none" w:sz="0" w:space="0" w:color="auto"/>
            <w:right w:val="none" w:sz="0" w:space="0" w:color="auto"/>
          </w:divBdr>
        </w:div>
        <w:div w:id="2052070357">
          <w:marLeft w:val="0"/>
          <w:marRight w:val="0"/>
          <w:marTop w:val="0"/>
          <w:marBottom w:val="0"/>
          <w:divBdr>
            <w:top w:val="none" w:sz="0" w:space="0" w:color="auto"/>
            <w:left w:val="none" w:sz="0" w:space="0" w:color="auto"/>
            <w:bottom w:val="none" w:sz="0" w:space="0" w:color="auto"/>
            <w:right w:val="none" w:sz="0" w:space="0" w:color="auto"/>
          </w:divBdr>
        </w:div>
        <w:div w:id="1476222827">
          <w:marLeft w:val="0"/>
          <w:marRight w:val="0"/>
          <w:marTop w:val="0"/>
          <w:marBottom w:val="0"/>
          <w:divBdr>
            <w:top w:val="none" w:sz="0" w:space="0" w:color="auto"/>
            <w:left w:val="none" w:sz="0" w:space="0" w:color="auto"/>
            <w:bottom w:val="none" w:sz="0" w:space="0" w:color="auto"/>
            <w:right w:val="none" w:sz="0" w:space="0" w:color="auto"/>
          </w:divBdr>
        </w:div>
        <w:div w:id="640698765">
          <w:marLeft w:val="0"/>
          <w:marRight w:val="0"/>
          <w:marTop w:val="0"/>
          <w:marBottom w:val="0"/>
          <w:divBdr>
            <w:top w:val="none" w:sz="0" w:space="0" w:color="auto"/>
            <w:left w:val="none" w:sz="0" w:space="0" w:color="auto"/>
            <w:bottom w:val="none" w:sz="0" w:space="0" w:color="auto"/>
            <w:right w:val="none" w:sz="0" w:space="0" w:color="auto"/>
          </w:divBdr>
        </w:div>
        <w:div w:id="1405642092">
          <w:marLeft w:val="0"/>
          <w:marRight w:val="0"/>
          <w:marTop w:val="0"/>
          <w:marBottom w:val="0"/>
          <w:divBdr>
            <w:top w:val="none" w:sz="0" w:space="0" w:color="auto"/>
            <w:left w:val="none" w:sz="0" w:space="0" w:color="auto"/>
            <w:bottom w:val="none" w:sz="0" w:space="0" w:color="auto"/>
            <w:right w:val="none" w:sz="0" w:space="0" w:color="auto"/>
          </w:divBdr>
        </w:div>
        <w:div w:id="33698341">
          <w:marLeft w:val="0"/>
          <w:marRight w:val="0"/>
          <w:marTop w:val="0"/>
          <w:marBottom w:val="0"/>
          <w:divBdr>
            <w:top w:val="none" w:sz="0" w:space="0" w:color="auto"/>
            <w:left w:val="none" w:sz="0" w:space="0" w:color="auto"/>
            <w:bottom w:val="none" w:sz="0" w:space="0" w:color="auto"/>
            <w:right w:val="none" w:sz="0" w:space="0" w:color="auto"/>
          </w:divBdr>
        </w:div>
        <w:div w:id="989097738">
          <w:marLeft w:val="0"/>
          <w:marRight w:val="0"/>
          <w:marTop w:val="0"/>
          <w:marBottom w:val="0"/>
          <w:divBdr>
            <w:top w:val="none" w:sz="0" w:space="0" w:color="auto"/>
            <w:left w:val="none" w:sz="0" w:space="0" w:color="auto"/>
            <w:bottom w:val="none" w:sz="0" w:space="0" w:color="auto"/>
            <w:right w:val="none" w:sz="0" w:space="0" w:color="auto"/>
          </w:divBdr>
        </w:div>
        <w:div w:id="2078702121">
          <w:marLeft w:val="0"/>
          <w:marRight w:val="0"/>
          <w:marTop w:val="0"/>
          <w:marBottom w:val="0"/>
          <w:divBdr>
            <w:top w:val="none" w:sz="0" w:space="0" w:color="auto"/>
            <w:left w:val="none" w:sz="0" w:space="0" w:color="auto"/>
            <w:bottom w:val="none" w:sz="0" w:space="0" w:color="auto"/>
            <w:right w:val="none" w:sz="0" w:space="0" w:color="auto"/>
          </w:divBdr>
        </w:div>
        <w:div w:id="813569096">
          <w:marLeft w:val="0"/>
          <w:marRight w:val="0"/>
          <w:marTop w:val="0"/>
          <w:marBottom w:val="0"/>
          <w:divBdr>
            <w:top w:val="none" w:sz="0" w:space="0" w:color="auto"/>
            <w:left w:val="none" w:sz="0" w:space="0" w:color="auto"/>
            <w:bottom w:val="none" w:sz="0" w:space="0" w:color="auto"/>
            <w:right w:val="none" w:sz="0" w:space="0" w:color="auto"/>
          </w:divBdr>
        </w:div>
        <w:div w:id="565603925">
          <w:marLeft w:val="0"/>
          <w:marRight w:val="0"/>
          <w:marTop w:val="0"/>
          <w:marBottom w:val="0"/>
          <w:divBdr>
            <w:top w:val="none" w:sz="0" w:space="0" w:color="auto"/>
            <w:left w:val="none" w:sz="0" w:space="0" w:color="auto"/>
            <w:bottom w:val="none" w:sz="0" w:space="0" w:color="auto"/>
            <w:right w:val="none" w:sz="0" w:space="0" w:color="auto"/>
          </w:divBdr>
        </w:div>
        <w:div w:id="1594166004">
          <w:marLeft w:val="0"/>
          <w:marRight w:val="0"/>
          <w:marTop w:val="0"/>
          <w:marBottom w:val="0"/>
          <w:divBdr>
            <w:top w:val="none" w:sz="0" w:space="0" w:color="auto"/>
            <w:left w:val="none" w:sz="0" w:space="0" w:color="auto"/>
            <w:bottom w:val="none" w:sz="0" w:space="0" w:color="auto"/>
            <w:right w:val="none" w:sz="0" w:space="0" w:color="auto"/>
          </w:divBdr>
        </w:div>
        <w:div w:id="968709489">
          <w:marLeft w:val="0"/>
          <w:marRight w:val="0"/>
          <w:marTop w:val="0"/>
          <w:marBottom w:val="0"/>
          <w:divBdr>
            <w:top w:val="none" w:sz="0" w:space="0" w:color="auto"/>
            <w:left w:val="none" w:sz="0" w:space="0" w:color="auto"/>
            <w:bottom w:val="none" w:sz="0" w:space="0" w:color="auto"/>
            <w:right w:val="none" w:sz="0" w:space="0" w:color="auto"/>
          </w:divBdr>
        </w:div>
        <w:div w:id="28796966">
          <w:marLeft w:val="0"/>
          <w:marRight w:val="0"/>
          <w:marTop w:val="0"/>
          <w:marBottom w:val="0"/>
          <w:divBdr>
            <w:top w:val="none" w:sz="0" w:space="0" w:color="auto"/>
            <w:left w:val="none" w:sz="0" w:space="0" w:color="auto"/>
            <w:bottom w:val="none" w:sz="0" w:space="0" w:color="auto"/>
            <w:right w:val="none" w:sz="0" w:space="0" w:color="auto"/>
          </w:divBdr>
        </w:div>
        <w:div w:id="535388025">
          <w:marLeft w:val="0"/>
          <w:marRight w:val="0"/>
          <w:marTop w:val="0"/>
          <w:marBottom w:val="0"/>
          <w:divBdr>
            <w:top w:val="none" w:sz="0" w:space="0" w:color="auto"/>
            <w:left w:val="none" w:sz="0" w:space="0" w:color="auto"/>
            <w:bottom w:val="none" w:sz="0" w:space="0" w:color="auto"/>
            <w:right w:val="none" w:sz="0" w:space="0" w:color="auto"/>
          </w:divBdr>
        </w:div>
        <w:div w:id="1386686943">
          <w:marLeft w:val="0"/>
          <w:marRight w:val="0"/>
          <w:marTop w:val="0"/>
          <w:marBottom w:val="0"/>
          <w:divBdr>
            <w:top w:val="none" w:sz="0" w:space="0" w:color="auto"/>
            <w:left w:val="none" w:sz="0" w:space="0" w:color="auto"/>
            <w:bottom w:val="none" w:sz="0" w:space="0" w:color="auto"/>
            <w:right w:val="none" w:sz="0" w:space="0" w:color="auto"/>
          </w:divBdr>
        </w:div>
        <w:div w:id="1725984454">
          <w:marLeft w:val="0"/>
          <w:marRight w:val="0"/>
          <w:marTop w:val="0"/>
          <w:marBottom w:val="0"/>
          <w:divBdr>
            <w:top w:val="none" w:sz="0" w:space="0" w:color="auto"/>
            <w:left w:val="none" w:sz="0" w:space="0" w:color="auto"/>
            <w:bottom w:val="none" w:sz="0" w:space="0" w:color="auto"/>
            <w:right w:val="none" w:sz="0" w:space="0" w:color="auto"/>
          </w:divBdr>
        </w:div>
        <w:div w:id="1360666160">
          <w:marLeft w:val="0"/>
          <w:marRight w:val="0"/>
          <w:marTop w:val="0"/>
          <w:marBottom w:val="0"/>
          <w:divBdr>
            <w:top w:val="none" w:sz="0" w:space="0" w:color="auto"/>
            <w:left w:val="none" w:sz="0" w:space="0" w:color="auto"/>
            <w:bottom w:val="none" w:sz="0" w:space="0" w:color="auto"/>
            <w:right w:val="none" w:sz="0" w:space="0" w:color="auto"/>
          </w:divBdr>
        </w:div>
        <w:div w:id="570701731">
          <w:marLeft w:val="0"/>
          <w:marRight w:val="0"/>
          <w:marTop w:val="0"/>
          <w:marBottom w:val="0"/>
          <w:divBdr>
            <w:top w:val="none" w:sz="0" w:space="0" w:color="auto"/>
            <w:left w:val="none" w:sz="0" w:space="0" w:color="auto"/>
            <w:bottom w:val="none" w:sz="0" w:space="0" w:color="auto"/>
            <w:right w:val="none" w:sz="0" w:space="0" w:color="auto"/>
          </w:divBdr>
        </w:div>
        <w:div w:id="157427439">
          <w:marLeft w:val="0"/>
          <w:marRight w:val="0"/>
          <w:marTop w:val="0"/>
          <w:marBottom w:val="0"/>
          <w:divBdr>
            <w:top w:val="none" w:sz="0" w:space="0" w:color="auto"/>
            <w:left w:val="none" w:sz="0" w:space="0" w:color="auto"/>
            <w:bottom w:val="none" w:sz="0" w:space="0" w:color="auto"/>
            <w:right w:val="none" w:sz="0" w:space="0" w:color="auto"/>
          </w:divBdr>
        </w:div>
        <w:div w:id="1152255616">
          <w:marLeft w:val="0"/>
          <w:marRight w:val="0"/>
          <w:marTop w:val="0"/>
          <w:marBottom w:val="0"/>
          <w:divBdr>
            <w:top w:val="none" w:sz="0" w:space="0" w:color="auto"/>
            <w:left w:val="none" w:sz="0" w:space="0" w:color="auto"/>
            <w:bottom w:val="none" w:sz="0" w:space="0" w:color="auto"/>
            <w:right w:val="none" w:sz="0" w:space="0" w:color="auto"/>
          </w:divBdr>
        </w:div>
        <w:div w:id="1525902021">
          <w:marLeft w:val="0"/>
          <w:marRight w:val="0"/>
          <w:marTop w:val="0"/>
          <w:marBottom w:val="0"/>
          <w:divBdr>
            <w:top w:val="none" w:sz="0" w:space="0" w:color="auto"/>
            <w:left w:val="none" w:sz="0" w:space="0" w:color="auto"/>
            <w:bottom w:val="none" w:sz="0" w:space="0" w:color="auto"/>
            <w:right w:val="none" w:sz="0" w:space="0" w:color="auto"/>
          </w:divBdr>
        </w:div>
        <w:div w:id="684480946">
          <w:marLeft w:val="0"/>
          <w:marRight w:val="0"/>
          <w:marTop w:val="0"/>
          <w:marBottom w:val="0"/>
          <w:divBdr>
            <w:top w:val="none" w:sz="0" w:space="0" w:color="auto"/>
            <w:left w:val="none" w:sz="0" w:space="0" w:color="auto"/>
            <w:bottom w:val="none" w:sz="0" w:space="0" w:color="auto"/>
            <w:right w:val="none" w:sz="0" w:space="0" w:color="auto"/>
          </w:divBdr>
        </w:div>
        <w:div w:id="687369441">
          <w:marLeft w:val="0"/>
          <w:marRight w:val="0"/>
          <w:marTop w:val="0"/>
          <w:marBottom w:val="0"/>
          <w:divBdr>
            <w:top w:val="none" w:sz="0" w:space="0" w:color="auto"/>
            <w:left w:val="none" w:sz="0" w:space="0" w:color="auto"/>
            <w:bottom w:val="none" w:sz="0" w:space="0" w:color="auto"/>
            <w:right w:val="none" w:sz="0" w:space="0" w:color="auto"/>
          </w:divBdr>
        </w:div>
        <w:div w:id="481582398">
          <w:marLeft w:val="0"/>
          <w:marRight w:val="0"/>
          <w:marTop w:val="0"/>
          <w:marBottom w:val="0"/>
          <w:divBdr>
            <w:top w:val="none" w:sz="0" w:space="0" w:color="auto"/>
            <w:left w:val="none" w:sz="0" w:space="0" w:color="auto"/>
            <w:bottom w:val="none" w:sz="0" w:space="0" w:color="auto"/>
            <w:right w:val="none" w:sz="0" w:space="0" w:color="auto"/>
          </w:divBdr>
        </w:div>
        <w:div w:id="1229729705">
          <w:marLeft w:val="0"/>
          <w:marRight w:val="0"/>
          <w:marTop w:val="0"/>
          <w:marBottom w:val="0"/>
          <w:divBdr>
            <w:top w:val="none" w:sz="0" w:space="0" w:color="auto"/>
            <w:left w:val="none" w:sz="0" w:space="0" w:color="auto"/>
            <w:bottom w:val="none" w:sz="0" w:space="0" w:color="auto"/>
            <w:right w:val="none" w:sz="0" w:space="0" w:color="auto"/>
          </w:divBdr>
        </w:div>
        <w:div w:id="168569492">
          <w:marLeft w:val="0"/>
          <w:marRight w:val="0"/>
          <w:marTop w:val="0"/>
          <w:marBottom w:val="0"/>
          <w:divBdr>
            <w:top w:val="none" w:sz="0" w:space="0" w:color="auto"/>
            <w:left w:val="none" w:sz="0" w:space="0" w:color="auto"/>
            <w:bottom w:val="none" w:sz="0" w:space="0" w:color="auto"/>
            <w:right w:val="none" w:sz="0" w:space="0" w:color="auto"/>
          </w:divBdr>
        </w:div>
        <w:div w:id="1913154019">
          <w:marLeft w:val="0"/>
          <w:marRight w:val="0"/>
          <w:marTop w:val="0"/>
          <w:marBottom w:val="0"/>
          <w:divBdr>
            <w:top w:val="none" w:sz="0" w:space="0" w:color="auto"/>
            <w:left w:val="none" w:sz="0" w:space="0" w:color="auto"/>
            <w:bottom w:val="none" w:sz="0" w:space="0" w:color="auto"/>
            <w:right w:val="none" w:sz="0" w:space="0" w:color="auto"/>
          </w:divBdr>
        </w:div>
        <w:div w:id="1427339581">
          <w:marLeft w:val="0"/>
          <w:marRight w:val="0"/>
          <w:marTop w:val="0"/>
          <w:marBottom w:val="0"/>
          <w:divBdr>
            <w:top w:val="none" w:sz="0" w:space="0" w:color="auto"/>
            <w:left w:val="none" w:sz="0" w:space="0" w:color="auto"/>
            <w:bottom w:val="none" w:sz="0" w:space="0" w:color="auto"/>
            <w:right w:val="none" w:sz="0" w:space="0" w:color="auto"/>
          </w:divBdr>
        </w:div>
        <w:div w:id="1349679096">
          <w:marLeft w:val="0"/>
          <w:marRight w:val="0"/>
          <w:marTop w:val="0"/>
          <w:marBottom w:val="0"/>
          <w:divBdr>
            <w:top w:val="none" w:sz="0" w:space="0" w:color="auto"/>
            <w:left w:val="none" w:sz="0" w:space="0" w:color="auto"/>
            <w:bottom w:val="none" w:sz="0" w:space="0" w:color="auto"/>
            <w:right w:val="none" w:sz="0" w:space="0" w:color="auto"/>
          </w:divBdr>
        </w:div>
        <w:div w:id="402602744">
          <w:marLeft w:val="0"/>
          <w:marRight w:val="0"/>
          <w:marTop w:val="0"/>
          <w:marBottom w:val="0"/>
          <w:divBdr>
            <w:top w:val="none" w:sz="0" w:space="0" w:color="auto"/>
            <w:left w:val="none" w:sz="0" w:space="0" w:color="auto"/>
            <w:bottom w:val="none" w:sz="0" w:space="0" w:color="auto"/>
            <w:right w:val="none" w:sz="0" w:space="0" w:color="auto"/>
          </w:divBdr>
        </w:div>
        <w:div w:id="1570073436">
          <w:marLeft w:val="0"/>
          <w:marRight w:val="0"/>
          <w:marTop w:val="0"/>
          <w:marBottom w:val="0"/>
          <w:divBdr>
            <w:top w:val="none" w:sz="0" w:space="0" w:color="auto"/>
            <w:left w:val="none" w:sz="0" w:space="0" w:color="auto"/>
            <w:bottom w:val="none" w:sz="0" w:space="0" w:color="auto"/>
            <w:right w:val="none" w:sz="0" w:space="0" w:color="auto"/>
          </w:divBdr>
        </w:div>
        <w:div w:id="1611355219">
          <w:marLeft w:val="0"/>
          <w:marRight w:val="0"/>
          <w:marTop w:val="0"/>
          <w:marBottom w:val="0"/>
          <w:divBdr>
            <w:top w:val="none" w:sz="0" w:space="0" w:color="auto"/>
            <w:left w:val="none" w:sz="0" w:space="0" w:color="auto"/>
            <w:bottom w:val="none" w:sz="0" w:space="0" w:color="auto"/>
            <w:right w:val="none" w:sz="0" w:space="0" w:color="auto"/>
          </w:divBdr>
        </w:div>
        <w:div w:id="255788901">
          <w:marLeft w:val="0"/>
          <w:marRight w:val="0"/>
          <w:marTop w:val="0"/>
          <w:marBottom w:val="0"/>
          <w:divBdr>
            <w:top w:val="none" w:sz="0" w:space="0" w:color="auto"/>
            <w:left w:val="none" w:sz="0" w:space="0" w:color="auto"/>
            <w:bottom w:val="none" w:sz="0" w:space="0" w:color="auto"/>
            <w:right w:val="none" w:sz="0" w:space="0" w:color="auto"/>
          </w:divBdr>
        </w:div>
        <w:div w:id="976762683">
          <w:marLeft w:val="0"/>
          <w:marRight w:val="0"/>
          <w:marTop w:val="0"/>
          <w:marBottom w:val="0"/>
          <w:divBdr>
            <w:top w:val="none" w:sz="0" w:space="0" w:color="auto"/>
            <w:left w:val="none" w:sz="0" w:space="0" w:color="auto"/>
            <w:bottom w:val="none" w:sz="0" w:space="0" w:color="auto"/>
            <w:right w:val="none" w:sz="0" w:space="0" w:color="auto"/>
          </w:divBdr>
        </w:div>
        <w:div w:id="2020962414">
          <w:marLeft w:val="0"/>
          <w:marRight w:val="0"/>
          <w:marTop w:val="0"/>
          <w:marBottom w:val="0"/>
          <w:divBdr>
            <w:top w:val="none" w:sz="0" w:space="0" w:color="auto"/>
            <w:left w:val="none" w:sz="0" w:space="0" w:color="auto"/>
            <w:bottom w:val="none" w:sz="0" w:space="0" w:color="auto"/>
            <w:right w:val="none" w:sz="0" w:space="0" w:color="auto"/>
          </w:divBdr>
        </w:div>
        <w:div w:id="1698504064">
          <w:marLeft w:val="0"/>
          <w:marRight w:val="0"/>
          <w:marTop w:val="0"/>
          <w:marBottom w:val="0"/>
          <w:divBdr>
            <w:top w:val="none" w:sz="0" w:space="0" w:color="auto"/>
            <w:left w:val="none" w:sz="0" w:space="0" w:color="auto"/>
            <w:bottom w:val="none" w:sz="0" w:space="0" w:color="auto"/>
            <w:right w:val="none" w:sz="0" w:space="0" w:color="auto"/>
          </w:divBdr>
        </w:div>
        <w:div w:id="949817529">
          <w:marLeft w:val="0"/>
          <w:marRight w:val="0"/>
          <w:marTop w:val="0"/>
          <w:marBottom w:val="0"/>
          <w:divBdr>
            <w:top w:val="none" w:sz="0" w:space="0" w:color="auto"/>
            <w:left w:val="none" w:sz="0" w:space="0" w:color="auto"/>
            <w:bottom w:val="none" w:sz="0" w:space="0" w:color="auto"/>
            <w:right w:val="none" w:sz="0" w:space="0" w:color="auto"/>
          </w:divBdr>
        </w:div>
        <w:div w:id="497843799">
          <w:marLeft w:val="0"/>
          <w:marRight w:val="0"/>
          <w:marTop w:val="0"/>
          <w:marBottom w:val="0"/>
          <w:divBdr>
            <w:top w:val="none" w:sz="0" w:space="0" w:color="auto"/>
            <w:left w:val="none" w:sz="0" w:space="0" w:color="auto"/>
            <w:bottom w:val="none" w:sz="0" w:space="0" w:color="auto"/>
            <w:right w:val="none" w:sz="0" w:space="0" w:color="auto"/>
          </w:divBdr>
        </w:div>
        <w:div w:id="1869753780">
          <w:marLeft w:val="0"/>
          <w:marRight w:val="0"/>
          <w:marTop w:val="0"/>
          <w:marBottom w:val="0"/>
          <w:divBdr>
            <w:top w:val="none" w:sz="0" w:space="0" w:color="auto"/>
            <w:left w:val="none" w:sz="0" w:space="0" w:color="auto"/>
            <w:bottom w:val="none" w:sz="0" w:space="0" w:color="auto"/>
            <w:right w:val="none" w:sz="0" w:space="0" w:color="auto"/>
          </w:divBdr>
        </w:div>
        <w:div w:id="1686321657">
          <w:marLeft w:val="0"/>
          <w:marRight w:val="0"/>
          <w:marTop w:val="0"/>
          <w:marBottom w:val="0"/>
          <w:divBdr>
            <w:top w:val="none" w:sz="0" w:space="0" w:color="auto"/>
            <w:left w:val="none" w:sz="0" w:space="0" w:color="auto"/>
            <w:bottom w:val="none" w:sz="0" w:space="0" w:color="auto"/>
            <w:right w:val="none" w:sz="0" w:space="0" w:color="auto"/>
          </w:divBdr>
        </w:div>
      </w:divsChild>
    </w:div>
    <w:div w:id="481967252">
      <w:bodyDiv w:val="1"/>
      <w:marLeft w:val="0"/>
      <w:marRight w:val="0"/>
      <w:marTop w:val="0"/>
      <w:marBottom w:val="0"/>
      <w:divBdr>
        <w:top w:val="none" w:sz="0" w:space="0" w:color="auto"/>
        <w:left w:val="none" w:sz="0" w:space="0" w:color="auto"/>
        <w:bottom w:val="none" w:sz="0" w:space="0" w:color="auto"/>
        <w:right w:val="none" w:sz="0" w:space="0" w:color="auto"/>
      </w:divBdr>
    </w:div>
    <w:div w:id="526647346">
      <w:bodyDiv w:val="1"/>
      <w:marLeft w:val="0"/>
      <w:marRight w:val="0"/>
      <w:marTop w:val="0"/>
      <w:marBottom w:val="0"/>
      <w:divBdr>
        <w:top w:val="none" w:sz="0" w:space="0" w:color="auto"/>
        <w:left w:val="none" w:sz="0" w:space="0" w:color="auto"/>
        <w:bottom w:val="none" w:sz="0" w:space="0" w:color="auto"/>
        <w:right w:val="none" w:sz="0" w:space="0" w:color="auto"/>
      </w:divBdr>
    </w:div>
    <w:div w:id="580259124">
      <w:bodyDiv w:val="1"/>
      <w:marLeft w:val="0"/>
      <w:marRight w:val="0"/>
      <w:marTop w:val="0"/>
      <w:marBottom w:val="0"/>
      <w:divBdr>
        <w:top w:val="none" w:sz="0" w:space="0" w:color="auto"/>
        <w:left w:val="none" w:sz="0" w:space="0" w:color="auto"/>
        <w:bottom w:val="none" w:sz="0" w:space="0" w:color="auto"/>
        <w:right w:val="none" w:sz="0" w:space="0" w:color="auto"/>
      </w:divBdr>
    </w:div>
    <w:div w:id="585304279">
      <w:bodyDiv w:val="1"/>
      <w:marLeft w:val="0"/>
      <w:marRight w:val="0"/>
      <w:marTop w:val="0"/>
      <w:marBottom w:val="0"/>
      <w:divBdr>
        <w:top w:val="none" w:sz="0" w:space="0" w:color="auto"/>
        <w:left w:val="none" w:sz="0" w:space="0" w:color="auto"/>
        <w:bottom w:val="none" w:sz="0" w:space="0" w:color="auto"/>
        <w:right w:val="none" w:sz="0" w:space="0" w:color="auto"/>
      </w:divBdr>
    </w:div>
    <w:div w:id="618344440">
      <w:bodyDiv w:val="1"/>
      <w:marLeft w:val="0"/>
      <w:marRight w:val="0"/>
      <w:marTop w:val="0"/>
      <w:marBottom w:val="0"/>
      <w:divBdr>
        <w:top w:val="none" w:sz="0" w:space="0" w:color="auto"/>
        <w:left w:val="none" w:sz="0" w:space="0" w:color="auto"/>
        <w:bottom w:val="none" w:sz="0" w:space="0" w:color="auto"/>
        <w:right w:val="none" w:sz="0" w:space="0" w:color="auto"/>
      </w:divBdr>
    </w:div>
    <w:div w:id="618681519">
      <w:bodyDiv w:val="1"/>
      <w:marLeft w:val="0"/>
      <w:marRight w:val="0"/>
      <w:marTop w:val="0"/>
      <w:marBottom w:val="0"/>
      <w:divBdr>
        <w:top w:val="none" w:sz="0" w:space="0" w:color="auto"/>
        <w:left w:val="none" w:sz="0" w:space="0" w:color="auto"/>
        <w:bottom w:val="none" w:sz="0" w:space="0" w:color="auto"/>
        <w:right w:val="none" w:sz="0" w:space="0" w:color="auto"/>
      </w:divBdr>
    </w:div>
    <w:div w:id="635990802">
      <w:bodyDiv w:val="1"/>
      <w:marLeft w:val="0"/>
      <w:marRight w:val="0"/>
      <w:marTop w:val="0"/>
      <w:marBottom w:val="0"/>
      <w:divBdr>
        <w:top w:val="none" w:sz="0" w:space="0" w:color="auto"/>
        <w:left w:val="none" w:sz="0" w:space="0" w:color="auto"/>
        <w:bottom w:val="none" w:sz="0" w:space="0" w:color="auto"/>
        <w:right w:val="none" w:sz="0" w:space="0" w:color="auto"/>
      </w:divBdr>
    </w:div>
    <w:div w:id="654337773">
      <w:bodyDiv w:val="1"/>
      <w:marLeft w:val="0"/>
      <w:marRight w:val="0"/>
      <w:marTop w:val="0"/>
      <w:marBottom w:val="0"/>
      <w:divBdr>
        <w:top w:val="none" w:sz="0" w:space="0" w:color="auto"/>
        <w:left w:val="none" w:sz="0" w:space="0" w:color="auto"/>
        <w:bottom w:val="none" w:sz="0" w:space="0" w:color="auto"/>
        <w:right w:val="none" w:sz="0" w:space="0" w:color="auto"/>
      </w:divBdr>
      <w:divsChild>
        <w:div w:id="982538205">
          <w:marLeft w:val="0"/>
          <w:marRight w:val="0"/>
          <w:marTop w:val="45"/>
          <w:marBottom w:val="0"/>
          <w:divBdr>
            <w:top w:val="none" w:sz="0" w:space="0" w:color="auto"/>
            <w:left w:val="none" w:sz="0" w:space="0" w:color="auto"/>
            <w:bottom w:val="none" w:sz="0" w:space="0" w:color="auto"/>
            <w:right w:val="none" w:sz="0" w:space="0" w:color="auto"/>
          </w:divBdr>
          <w:divsChild>
            <w:div w:id="1738551544">
              <w:marLeft w:val="450"/>
              <w:marRight w:val="450"/>
              <w:marTop w:val="75"/>
              <w:marBottom w:val="0"/>
              <w:divBdr>
                <w:top w:val="none" w:sz="0" w:space="0" w:color="auto"/>
                <w:left w:val="none" w:sz="0" w:space="0" w:color="auto"/>
                <w:bottom w:val="none" w:sz="0" w:space="0" w:color="auto"/>
                <w:right w:val="none" w:sz="0" w:space="0" w:color="auto"/>
              </w:divBdr>
              <w:divsChild>
                <w:div w:id="85415055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698508642">
      <w:bodyDiv w:val="1"/>
      <w:marLeft w:val="0"/>
      <w:marRight w:val="0"/>
      <w:marTop w:val="0"/>
      <w:marBottom w:val="0"/>
      <w:divBdr>
        <w:top w:val="none" w:sz="0" w:space="0" w:color="auto"/>
        <w:left w:val="none" w:sz="0" w:space="0" w:color="auto"/>
        <w:bottom w:val="none" w:sz="0" w:space="0" w:color="auto"/>
        <w:right w:val="none" w:sz="0" w:space="0" w:color="auto"/>
      </w:divBdr>
    </w:div>
    <w:div w:id="718627136">
      <w:bodyDiv w:val="1"/>
      <w:marLeft w:val="0"/>
      <w:marRight w:val="0"/>
      <w:marTop w:val="0"/>
      <w:marBottom w:val="0"/>
      <w:divBdr>
        <w:top w:val="none" w:sz="0" w:space="0" w:color="auto"/>
        <w:left w:val="none" w:sz="0" w:space="0" w:color="auto"/>
        <w:bottom w:val="none" w:sz="0" w:space="0" w:color="auto"/>
        <w:right w:val="none" w:sz="0" w:space="0" w:color="auto"/>
      </w:divBdr>
    </w:div>
    <w:div w:id="733968854">
      <w:bodyDiv w:val="1"/>
      <w:marLeft w:val="0"/>
      <w:marRight w:val="0"/>
      <w:marTop w:val="0"/>
      <w:marBottom w:val="0"/>
      <w:divBdr>
        <w:top w:val="none" w:sz="0" w:space="0" w:color="auto"/>
        <w:left w:val="none" w:sz="0" w:space="0" w:color="auto"/>
        <w:bottom w:val="none" w:sz="0" w:space="0" w:color="auto"/>
        <w:right w:val="none" w:sz="0" w:space="0" w:color="auto"/>
      </w:divBdr>
    </w:div>
    <w:div w:id="734084968">
      <w:bodyDiv w:val="1"/>
      <w:marLeft w:val="0"/>
      <w:marRight w:val="0"/>
      <w:marTop w:val="0"/>
      <w:marBottom w:val="0"/>
      <w:divBdr>
        <w:top w:val="none" w:sz="0" w:space="0" w:color="auto"/>
        <w:left w:val="none" w:sz="0" w:space="0" w:color="auto"/>
        <w:bottom w:val="none" w:sz="0" w:space="0" w:color="auto"/>
        <w:right w:val="none" w:sz="0" w:space="0" w:color="auto"/>
      </w:divBdr>
    </w:div>
    <w:div w:id="754321219">
      <w:bodyDiv w:val="1"/>
      <w:marLeft w:val="0"/>
      <w:marRight w:val="0"/>
      <w:marTop w:val="0"/>
      <w:marBottom w:val="0"/>
      <w:divBdr>
        <w:top w:val="none" w:sz="0" w:space="0" w:color="auto"/>
        <w:left w:val="none" w:sz="0" w:space="0" w:color="auto"/>
        <w:bottom w:val="none" w:sz="0" w:space="0" w:color="auto"/>
        <w:right w:val="none" w:sz="0" w:space="0" w:color="auto"/>
      </w:divBdr>
    </w:div>
    <w:div w:id="820461061">
      <w:bodyDiv w:val="1"/>
      <w:marLeft w:val="0"/>
      <w:marRight w:val="0"/>
      <w:marTop w:val="0"/>
      <w:marBottom w:val="0"/>
      <w:divBdr>
        <w:top w:val="none" w:sz="0" w:space="0" w:color="auto"/>
        <w:left w:val="none" w:sz="0" w:space="0" w:color="auto"/>
        <w:bottom w:val="none" w:sz="0" w:space="0" w:color="auto"/>
        <w:right w:val="none" w:sz="0" w:space="0" w:color="auto"/>
      </w:divBdr>
    </w:div>
    <w:div w:id="884100266">
      <w:bodyDiv w:val="1"/>
      <w:marLeft w:val="0"/>
      <w:marRight w:val="0"/>
      <w:marTop w:val="0"/>
      <w:marBottom w:val="0"/>
      <w:divBdr>
        <w:top w:val="none" w:sz="0" w:space="0" w:color="auto"/>
        <w:left w:val="none" w:sz="0" w:space="0" w:color="auto"/>
        <w:bottom w:val="none" w:sz="0" w:space="0" w:color="auto"/>
        <w:right w:val="none" w:sz="0" w:space="0" w:color="auto"/>
      </w:divBdr>
    </w:div>
    <w:div w:id="920912371">
      <w:bodyDiv w:val="1"/>
      <w:marLeft w:val="0"/>
      <w:marRight w:val="0"/>
      <w:marTop w:val="0"/>
      <w:marBottom w:val="0"/>
      <w:divBdr>
        <w:top w:val="none" w:sz="0" w:space="0" w:color="auto"/>
        <w:left w:val="none" w:sz="0" w:space="0" w:color="auto"/>
        <w:bottom w:val="none" w:sz="0" w:space="0" w:color="auto"/>
        <w:right w:val="none" w:sz="0" w:space="0" w:color="auto"/>
      </w:divBdr>
    </w:div>
    <w:div w:id="966007203">
      <w:bodyDiv w:val="1"/>
      <w:marLeft w:val="0"/>
      <w:marRight w:val="0"/>
      <w:marTop w:val="0"/>
      <w:marBottom w:val="0"/>
      <w:divBdr>
        <w:top w:val="none" w:sz="0" w:space="0" w:color="auto"/>
        <w:left w:val="none" w:sz="0" w:space="0" w:color="auto"/>
        <w:bottom w:val="none" w:sz="0" w:space="0" w:color="auto"/>
        <w:right w:val="none" w:sz="0" w:space="0" w:color="auto"/>
      </w:divBdr>
    </w:div>
    <w:div w:id="997031528">
      <w:bodyDiv w:val="1"/>
      <w:marLeft w:val="0"/>
      <w:marRight w:val="0"/>
      <w:marTop w:val="0"/>
      <w:marBottom w:val="0"/>
      <w:divBdr>
        <w:top w:val="none" w:sz="0" w:space="0" w:color="auto"/>
        <w:left w:val="none" w:sz="0" w:space="0" w:color="auto"/>
        <w:bottom w:val="none" w:sz="0" w:space="0" w:color="auto"/>
        <w:right w:val="none" w:sz="0" w:space="0" w:color="auto"/>
      </w:divBdr>
    </w:div>
    <w:div w:id="998074819">
      <w:bodyDiv w:val="1"/>
      <w:marLeft w:val="0"/>
      <w:marRight w:val="0"/>
      <w:marTop w:val="0"/>
      <w:marBottom w:val="0"/>
      <w:divBdr>
        <w:top w:val="none" w:sz="0" w:space="0" w:color="auto"/>
        <w:left w:val="none" w:sz="0" w:space="0" w:color="auto"/>
        <w:bottom w:val="none" w:sz="0" w:space="0" w:color="auto"/>
        <w:right w:val="none" w:sz="0" w:space="0" w:color="auto"/>
      </w:divBdr>
    </w:div>
    <w:div w:id="1040939364">
      <w:bodyDiv w:val="1"/>
      <w:marLeft w:val="0"/>
      <w:marRight w:val="0"/>
      <w:marTop w:val="0"/>
      <w:marBottom w:val="0"/>
      <w:divBdr>
        <w:top w:val="none" w:sz="0" w:space="0" w:color="auto"/>
        <w:left w:val="none" w:sz="0" w:space="0" w:color="auto"/>
        <w:bottom w:val="none" w:sz="0" w:space="0" w:color="auto"/>
        <w:right w:val="none" w:sz="0" w:space="0" w:color="auto"/>
      </w:divBdr>
    </w:div>
    <w:div w:id="1041973945">
      <w:bodyDiv w:val="1"/>
      <w:marLeft w:val="0"/>
      <w:marRight w:val="0"/>
      <w:marTop w:val="0"/>
      <w:marBottom w:val="0"/>
      <w:divBdr>
        <w:top w:val="none" w:sz="0" w:space="0" w:color="auto"/>
        <w:left w:val="none" w:sz="0" w:space="0" w:color="auto"/>
        <w:bottom w:val="none" w:sz="0" w:space="0" w:color="auto"/>
        <w:right w:val="none" w:sz="0" w:space="0" w:color="auto"/>
      </w:divBdr>
    </w:div>
    <w:div w:id="1061052677">
      <w:bodyDiv w:val="1"/>
      <w:marLeft w:val="0"/>
      <w:marRight w:val="0"/>
      <w:marTop w:val="0"/>
      <w:marBottom w:val="0"/>
      <w:divBdr>
        <w:top w:val="none" w:sz="0" w:space="0" w:color="auto"/>
        <w:left w:val="none" w:sz="0" w:space="0" w:color="auto"/>
        <w:bottom w:val="none" w:sz="0" w:space="0" w:color="auto"/>
        <w:right w:val="none" w:sz="0" w:space="0" w:color="auto"/>
      </w:divBdr>
      <w:divsChild>
        <w:div w:id="146635424">
          <w:marLeft w:val="0"/>
          <w:marRight w:val="0"/>
          <w:marTop w:val="45"/>
          <w:marBottom w:val="0"/>
          <w:divBdr>
            <w:top w:val="none" w:sz="0" w:space="0" w:color="auto"/>
            <w:left w:val="none" w:sz="0" w:space="0" w:color="auto"/>
            <w:bottom w:val="none" w:sz="0" w:space="0" w:color="auto"/>
            <w:right w:val="none" w:sz="0" w:space="0" w:color="auto"/>
          </w:divBdr>
          <w:divsChild>
            <w:div w:id="1476682385">
              <w:marLeft w:val="450"/>
              <w:marRight w:val="450"/>
              <w:marTop w:val="75"/>
              <w:marBottom w:val="0"/>
              <w:divBdr>
                <w:top w:val="none" w:sz="0" w:space="0" w:color="auto"/>
                <w:left w:val="none" w:sz="0" w:space="0" w:color="auto"/>
                <w:bottom w:val="none" w:sz="0" w:space="0" w:color="auto"/>
                <w:right w:val="none" w:sz="0" w:space="0" w:color="auto"/>
              </w:divBdr>
              <w:divsChild>
                <w:div w:id="1523087989">
                  <w:marLeft w:val="0"/>
                  <w:marRight w:val="0"/>
                  <w:marTop w:val="0"/>
                  <w:marBottom w:val="90"/>
                  <w:divBdr>
                    <w:top w:val="none" w:sz="0" w:space="0" w:color="auto"/>
                    <w:left w:val="none" w:sz="0" w:space="0" w:color="auto"/>
                    <w:bottom w:val="none" w:sz="0" w:space="0" w:color="auto"/>
                    <w:right w:val="none" w:sz="0" w:space="0" w:color="auto"/>
                  </w:divBdr>
                </w:div>
                <w:div w:id="49514741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081416676">
      <w:bodyDiv w:val="1"/>
      <w:marLeft w:val="0"/>
      <w:marRight w:val="0"/>
      <w:marTop w:val="0"/>
      <w:marBottom w:val="0"/>
      <w:divBdr>
        <w:top w:val="none" w:sz="0" w:space="0" w:color="auto"/>
        <w:left w:val="none" w:sz="0" w:space="0" w:color="auto"/>
        <w:bottom w:val="none" w:sz="0" w:space="0" w:color="auto"/>
        <w:right w:val="none" w:sz="0" w:space="0" w:color="auto"/>
      </w:divBdr>
    </w:div>
    <w:div w:id="1139348945">
      <w:bodyDiv w:val="1"/>
      <w:marLeft w:val="0"/>
      <w:marRight w:val="0"/>
      <w:marTop w:val="0"/>
      <w:marBottom w:val="0"/>
      <w:divBdr>
        <w:top w:val="none" w:sz="0" w:space="0" w:color="auto"/>
        <w:left w:val="none" w:sz="0" w:space="0" w:color="auto"/>
        <w:bottom w:val="none" w:sz="0" w:space="0" w:color="auto"/>
        <w:right w:val="none" w:sz="0" w:space="0" w:color="auto"/>
      </w:divBdr>
    </w:div>
    <w:div w:id="1162963734">
      <w:bodyDiv w:val="1"/>
      <w:marLeft w:val="0"/>
      <w:marRight w:val="0"/>
      <w:marTop w:val="0"/>
      <w:marBottom w:val="0"/>
      <w:divBdr>
        <w:top w:val="none" w:sz="0" w:space="0" w:color="auto"/>
        <w:left w:val="none" w:sz="0" w:space="0" w:color="auto"/>
        <w:bottom w:val="none" w:sz="0" w:space="0" w:color="auto"/>
        <w:right w:val="none" w:sz="0" w:space="0" w:color="auto"/>
      </w:divBdr>
    </w:div>
    <w:div w:id="1180043737">
      <w:bodyDiv w:val="1"/>
      <w:marLeft w:val="0"/>
      <w:marRight w:val="0"/>
      <w:marTop w:val="0"/>
      <w:marBottom w:val="0"/>
      <w:divBdr>
        <w:top w:val="none" w:sz="0" w:space="0" w:color="auto"/>
        <w:left w:val="none" w:sz="0" w:space="0" w:color="auto"/>
        <w:bottom w:val="none" w:sz="0" w:space="0" w:color="auto"/>
        <w:right w:val="none" w:sz="0" w:space="0" w:color="auto"/>
      </w:divBdr>
    </w:div>
    <w:div w:id="1208298077">
      <w:bodyDiv w:val="1"/>
      <w:marLeft w:val="0"/>
      <w:marRight w:val="0"/>
      <w:marTop w:val="0"/>
      <w:marBottom w:val="0"/>
      <w:divBdr>
        <w:top w:val="none" w:sz="0" w:space="0" w:color="auto"/>
        <w:left w:val="none" w:sz="0" w:space="0" w:color="auto"/>
        <w:bottom w:val="none" w:sz="0" w:space="0" w:color="auto"/>
        <w:right w:val="none" w:sz="0" w:space="0" w:color="auto"/>
      </w:divBdr>
    </w:div>
    <w:div w:id="1217937090">
      <w:bodyDiv w:val="1"/>
      <w:marLeft w:val="0"/>
      <w:marRight w:val="0"/>
      <w:marTop w:val="0"/>
      <w:marBottom w:val="0"/>
      <w:divBdr>
        <w:top w:val="none" w:sz="0" w:space="0" w:color="auto"/>
        <w:left w:val="none" w:sz="0" w:space="0" w:color="auto"/>
        <w:bottom w:val="none" w:sz="0" w:space="0" w:color="auto"/>
        <w:right w:val="none" w:sz="0" w:space="0" w:color="auto"/>
      </w:divBdr>
    </w:div>
    <w:div w:id="1278367331">
      <w:bodyDiv w:val="1"/>
      <w:marLeft w:val="0"/>
      <w:marRight w:val="0"/>
      <w:marTop w:val="0"/>
      <w:marBottom w:val="0"/>
      <w:divBdr>
        <w:top w:val="none" w:sz="0" w:space="0" w:color="auto"/>
        <w:left w:val="none" w:sz="0" w:space="0" w:color="auto"/>
        <w:bottom w:val="none" w:sz="0" w:space="0" w:color="auto"/>
        <w:right w:val="none" w:sz="0" w:space="0" w:color="auto"/>
      </w:divBdr>
    </w:div>
    <w:div w:id="1360159160">
      <w:bodyDiv w:val="1"/>
      <w:marLeft w:val="0"/>
      <w:marRight w:val="0"/>
      <w:marTop w:val="0"/>
      <w:marBottom w:val="0"/>
      <w:divBdr>
        <w:top w:val="none" w:sz="0" w:space="0" w:color="auto"/>
        <w:left w:val="none" w:sz="0" w:space="0" w:color="auto"/>
        <w:bottom w:val="none" w:sz="0" w:space="0" w:color="auto"/>
        <w:right w:val="none" w:sz="0" w:space="0" w:color="auto"/>
      </w:divBdr>
    </w:div>
    <w:div w:id="1368481640">
      <w:bodyDiv w:val="1"/>
      <w:marLeft w:val="0"/>
      <w:marRight w:val="0"/>
      <w:marTop w:val="0"/>
      <w:marBottom w:val="0"/>
      <w:divBdr>
        <w:top w:val="none" w:sz="0" w:space="0" w:color="auto"/>
        <w:left w:val="none" w:sz="0" w:space="0" w:color="auto"/>
        <w:bottom w:val="none" w:sz="0" w:space="0" w:color="auto"/>
        <w:right w:val="none" w:sz="0" w:space="0" w:color="auto"/>
      </w:divBdr>
      <w:divsChild>
        <w:div w:id="420567235">
          <w:marLeft w:val="0"/>
          <w:marRight w:val="0"/>
          <w:marTop w:val="45"/>
          <w:marBottom w:val="0"/>
          <w:divBdr>
            <w:top w:val="none" w:sz="0" w:space="0" w:color="auto"/>
            <w:left w:val="none" w:sz="0" w:space="0" w:color="auto"/>
            <w:bottom w:val="none" w:sz="0" w:space="0" w:color="auto"/>
            <w:right w:val="none" w:sz="0" w:space="0" w:color="auto"/>
          </w:divBdr>
          <w:divsChild>
            <w:div w:id="1427576199">
              <w:marLeft w:val="450"/>
              <w:marRight w:val="450"/>
              <w:marTop w:val="75"/>
              <w:marBottom w:val="0"/>
              <w:divBdr>
                <w:top w:val="none" w:sz="0" w:space="0" w:color="auto"/>
                <w:left w:val="none" w:sz="0" w:space="0" w:color="auto"/>
                <w:bottom w:val="none" w:sz="0" w:space="0" w:color="auto"/>
                <w:right w:val="none" w:sz="0" w:space="0" w:color="auto"/>
              </w:divBdr>
              <w:divsChild>
                <w:div w:id="1641617045">
                  <w:marLeft w:val="150"/>
                  <w:marRight w:val="450"/>
                  <w:marTop w:val="30"/>
                  <w:marBottom w:val="0"/>
                  <w:divBdr>
                    <w:top w:val="none" w:sz="0" w:space="0" w:color="auto"/>
                    <w:left w:val="none" w:sz="0" w:space="0" w:color="auto"/>
                    <w:bottom w:val="none" w:sz="0" w:space="0" w:color="auto"/>
                    <w:right w:val="none" w:sz="0" w:space="0" w:color="auto"/>
                  </w:divBdr>
                </w:div>
              </w:divsChild>
            </w:div>
            <w:div w:id="160899865">
              <w:marLeft w:val="450"/>
              <w:marRight w:val="450"/>
              <w:marTop w:val="75"/>
              <w:marBottom w:val="0"/>
              <w:divBdr>
                <w:top w:val="none" w:sz="0" w:space="0" w:color="auto"/>
                <w:left w:val="none" w:sz="0" w:space="0" w:color="auto"/>
                <w:bottom w:val="none" w:sz="0" w:space="0" w:color="auto"/>
                <w:right w:val="none" w:sz="0" w:space="0" w:color="auto"/>
              </w:divBdr>
              <w:divsChild>
                <w:div w:id="1799102529">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1373968032">
      <w:bodyDiv w:val="1"/>
      <w:marLeft w:val="0"/>
      <w:marRight w:val="0"/>
      <w:marTop w:val="0"/>
      <w:marBottom w:val="0"/>
      <w:divBdr>
        <w:top w:val="none" w:sz="0" w:space="0" w:color="auto"/>
        <w:left w:val="none" w:sz="0" w:space="0" w:color="auto"/>
        <w:bottom w:val="none" w:sz="0" w:space="0" w:color="auto"/>
        <w:right w:val="none" w:sz="0" w:space="0" w:color="auto"/>
      </w:divBdr>
    </w:div>
    <w:div w:id="1421487429">
      <w:bodyDiv w:val="1"/>
      <w:marLeft w:val="0"/>
      <w:marRight w:val="0"/>
      <w:marTop w:val="0"/>
      <w:marBottom w:val="0"/>
      <w:divBdr>
        <w:top w:val="none" w:sz="0" w:space="0" w:color="auto"/>
        <w:left w:val="none" w:sz="0" w:space="0" w:color="auto"/>
        <w:bottom w:val="none" w:sz="0" w:space="0" w:color="auto"/>
        <w:right w:val="none" w:sz="0" w:space="0" w:color="auto"/>
      </w:divBdr>
    </w:div>
    <w:div w:id="1424299828">
      <w:bodyDiv w:val="1"/>
      <w:marLeft w:val="0"/>
      <w:marRight w:val="0"/>
      <w:marTop w:val="0"/>
      <w:marBottom w:val="0"/>
      <w:divBdr>
        <w:top w:val="none" w:sz="0" w:space="0" w:color="auto"/>
        <w:left w:val="none" w:sz="0" w:space="0" w:color="auto"/>
        <w:bottom w:val="none" w:sz="0" w:space="0" w:color="auto"/>
        <w:right w:val="none" w:sz="0" w:space="0" w:color="auto"/>
      </w:divBdr>
    </w:div>
    <w:div w:id="1440952727">
      <w:bodyDiv w:val="1"/>
      <w:marLeft w:val="0"/>
      <w:marRight w:val="0"/>
      <w:marTop w:val="0"/>
      <w:marBottom w:val="0"/>
      <w:divBdr>
        <w:top w:val="none" w:sz="0" w:space="0" w:color="auto"/>
        <w:left w:val="none" w:sz="0" w:space="0" w:color="auto"/>
        <w:bottom w:val="none" w:sz="0" w:space="0" w:color="auto"/>
        <w:right w:val="none" w:sz="0" w:space="0" w:color="auto"/>
      </w:divBdr>
      <w:divsChild>
        <w:div w:id="252514751">
          <w:marLeft w:val="0"/>
          <w:marRight w:val="0"/>
          <w:marTop w:val="0"/>
          <w:marBottom w:val="0"/>
          <w:divBdr>
            <w:top w:val="none" w:sz="0" w:space="0" w:color="auto"/>
            <w:left w:val="none" w:sz="0" w:space="0" w:color="auto"/>
            <w:bottom w:val="none" w:sz="0" w:space="0" w:color="auto"/>
            <w:right w:val="none" w:sz="0" w:space="0" w:color="auto"/>
          </w:divBdr>
        </w:div>
      </w:divsChild>
    </w:div>
    <w:div w:id="1482497999">
      <w:bodyDiv w:val="1"/>
      <w:marLeft w:val="0"/>
      <w:marRight w:val="0"/>
      <w:marTop w:val="0"/>
      <w:marBottom w:val="0"/>
      <w:divBdr>
        <w:top w:val="none" w:sz="0" w:space="0" w:color="auto"/>
        <w:left w:val="none" w:sz="0" w:space="0" w:color="auto"/>
        <w:bottom w:val="none" w:sz="0" w:space="0" w:color="auto"/>
        <w:right w:val="none" w:sz="0" w:space="0" w:color="auto"/>
      </w:divBdr>
    </w:div>
    <w:div w:id="1526140961">
      <w:bodyDiv w:val="1"/>
      <w:marLeft w:val="0"/>
      <w:marRight w:val="0"/>
      <w:marTop w:val="0"/>
      <w:marBottom w:val="0"/>
      <w:divBdr>
        <w:top w:val="none" w:sz="0" w:space="0" w:color="auto"/>
        <w:left w:val="none" w:sz="0" w:space="0" w:color="auto"/>
        <w:bottom w:val="none" w:sz="0" w:space="0" w:color="auto"/>
        <w:right w:val="none" w:sz="0" w:space="0" w:color="auto"/>
      </w:divBdr>
    </w:div>
    <w:div w:id="1534071596">
      <w:bodyDiv w:val="1"/>
      <w:marLeft w:val="0"/>
      <w:marRight w:val="0"/>
      <w:marTop w:val="0"/>
      <w:marBottom w:val="0"/>
      <w:divBdr>
        <w:top w:val="none" w:sz="0" w:space="0" w:color="auto"/>
        <w:left w:val="none" w:sz="0" w:space="0" w:color="auto"/>
        <w:bottom w:val="none" w:sz="0" w:space="0" w:color="auto"/>
        <w:right w:val="none" w:sz="0" w:space="0" w:color="auto"/>
      </w:divBdr>
    </w:div>
    <w:div w:id="1590772963">
      <w:bodyDiv w:val="1"/>
      <w:marLeft w:val="0"/>
      <w:marRight w:val="0"/>
      <w:marTop w:val="0"/>
      <w:marBottom w:val="0"/>
      <w:divBdr>
        <w:top w:val="none" w:sz="0" w:space="0" w:color="auto"/>
        <w:left w:val="none" w:sz="0" w:space="0" w:color="auto"/>
        <w:bottom w:val="none" w:sz="0" w:space="0" w:color="auto"/>
        <w:right w:val="none" w:sz="0" w:space="0" w:color="auto"/>
      </w:divBdr>
    </w:div>
    <w:div w:id="1618876779">
      <w:bodyDiv w:val="1"/>
      <w:marLeft w:val="0"/>
      <w:marRight w:val="0"/>
      <w:marTop w:val="0"/>
      <w:marBottom w:val="0"/>
      <w:divBdr>
        <w:top w:val="none" w:sz="0" w:space="0" w:color="auto"/>
        <w:left w:val="none" w:sz="0" w:space="0" w:color="auto"/>
        <w:bottom w:val="none" w:sz="0" w:space="0" w:color="auto"/>
        <w:right w:val="none" w:sz="0" w:space="0" w:color="auto"/>
      </w:divBdr>
    </w:div>
    <w:div w:id="1634094586">
      <w:bodyDiv w:val="1"/>
      <w:marLeft w:val="0"/>
      <w:marRight w:val="0"/>
      <w:marTop w:val="0"/>
      <w:marBottom w:val="0"/>
      <w:divBdr>
        <w:top w:val="none" w:sz="0" w:space="0" w:color="auto"/>
        <w:left w:val="none" w:sz="0" w:space="0" w:color="auto"/>
        <w:bottom w:val="none" w:sz="0" w:space="0" w:color="auto"/>
        <w:right w:val="none" w:sz="0" w:space="0" w:color="auto"/>
      </w:divBdr>
    </w:div>
    <w:div w:id="1675182614">
      <w:bodyDiv w:val="1"/>
      <w:marLeft w:val="0"/>
      <w:marRight w:val="0"/>
      <w:marTop w:val="0"/>
      <w:marBottom w:val="0"/>
      <w:divBdr>
        <w:top w:val="none" w:sz="0" w:space="0" w:color="auto"/>
        <w:left w:val="none" w:sz="0" w:space="0" w:color="auto"/>
        <w:bottom w:val="none" w:sz="0" w:space="0" w:color="auto"/>
        <w:right w:val="none" w:sz="0" w:space="0" w:color="auto"/>
      </w:divBdr>
    </w:div>
    <w:div w:id="1693845777">
      <w:bodyDiv w:val="1"/>
      <w:marLeft w:val="0"/>
      <w:marRight w:val="0"/>
      <w:marTop w:val="0"/>
      <w:marBottom w:val="0"/>
      <w:divBdr>
        <w:top w:val="none" w:sz="0" w:space="0" w:color="auto"/>
        <w:left w:val="none" w:sz="0" w:space="0" w:color="auto"/>
        <w:bottom w:val="none" w:sz="0" w:space="0" w:color="auto"/>
        <w:right w:val="none" w:sz="0" w:space="0" w:color="auto"/>
      </w:divBdr>
    </w:div>
    <w:div w:id="1711491579">
      <w:bodyDiv w:val="1"/>
      <w:marLeft w:val="0"/>
      <w:marRight w:val="0"/>
      <w:marTop w:val="0"/>
      <w:marBottom w:val="0"/>
      <w:divBdr>
        <w:top w:val="none" w:sz="0" w:space="0" w:color="auto"/>
        <w:left w:val="none" w:sz="0" w:space="0" w:color="auto"/>
        <w:bottom w:val="none" w:sz="0" w:space="0" w:color="auto"/>
        <w:right w:val="none" w:sz="0" w:space="0" w:color="auto"/>
      </w:divBdr>
    </w:div>
    <w:div w:id="1746805624">
      <w:bodyDiv w:val="1"/>
      <w:marLeft w:val="0"/>
      <w:marRight w:val="0"/>
      <w:marTop w:val="0"/>
      <w:marBottom w:val="0"/>
      <w:divBdr>
        <w:top w:val="none" w:sz="0" w:space="0" w:color="auto"/>
        <w:left w:val="none" w:sz="0" w:space="0" w:color="auto"/>
        <w:bottom w:val="none" w:sz="0" w:space="0" w:color="auto"/>
        <w:right w:val="none" w:sz="0" w:space="0" w:color="auto"/>
      </w:divBdr>
    </w:div>
    <w:div w:id="1766882720">
      <w:bodyDiv w:val="1"/>
      <w:marLeft w:val="0"/>
      <w:marRight w:val="0"/>
      <w:marTop w:val="0"/>
      <w:marBottom w:val="0"/>
      <w:divBdr>
        <w:top w:val="none" w:sz="0" w:space="0" w:color="auto"/>
        <w:left w:val="none" w:sz="0" w:space="0" w:color="auto"/>
        <w:bottom w:val="none" w:sz="0" w:space="0" w:color="auto"/>
        <w:right w:val="none" w:sz="0" w:space="0" w:color="auto"/>
      </w:divBdr>
    </w:div>
    <w:div w:id="1802653573">
      <w:bodyDiv w:val="1"/>
      <w:marLeft w:val="0"/>
      <w:marRight w:val="0"/>
      <w:marTop w:val="0"/>
      <w:marBottom w:val="0"/>
      <w:divBdr>
        <w:top w:val="none" w:sz="0" w:space="0" w:color="auto"/>
        <w:left w:val="none" w:sz="0" w:space="0" w:color="auto"/>
        <w:bottom w:val="none" w:sz="0" w:space="0" w:color="auto"/>
        <w:right w:val="none" w:sz="0" w:space="0" w:color="auto"/>
      </w:divBdr>
    </w:div>
    <w:div w:id="1881673654">
      <w:bodyDiv w:val="1"/>
      <w:marLeft w:val="0"/>
      <w:marRight w:val="0"/>
      <w:marTop w:val="0"/>
      <w:marBottom w:val="0"/>
      <w:divBdr>
        <w:top w:val="none" w:sz="0" w:space="0" w:color="auto"/>
        <w:left w:val="none" w:sz="0" w:space="0" w:color="auto"/>
        <w:bottom w:val="none" w:sz="0" w:space="0" w:color="auto"/>
        <w:right w:val="none" w:sz="0" w:space="0" w:color="auto"/>
      </w:divBdr>
    </w:div>
    <w:div w:id="1898392712">
      <w:bodyDiv w:val="1"/>
      <w:marLeft w:val="0"/>
      <w:marRight w:val="0"/>
      <w:marTop w:val="0"/>
      <w:marBottom w:val="0"/>
      <w:divBdr>
        <w:top w:val="none" w:sz="0" w:space="0" w:color="auto"/>
        <w:left w:val="none" w:sz="0" w:space="0" w:color="auto"/>
        <w:bottom w:val="none" w:sz="0" w:space="0" w:color="auto"/>
        <w:right w:val="none" w:sz="0" w:space="0" w:color="auto"/>
      </w:divBdr>
    </w:div>
    <w:div w:id="1955550740">
      <w:bodyDiv w:val="1"/>
      <w:marLeft w:val="0"/>
      <w:marRight w:val="0"/>
      <w:marTop w:val="0"/>
      <w:marBottom w:val="0"/>
      <w:divBdr>
        <w:top w:val="none" w:sz="0" w:space="0" w:color="auto"/>
        <w:left w:val="none" w:sz="0" w:space="0" w:color="auto"/>
        <w:bottom w:val="none" w:sz="0" w:space="0" w:color="auto"/>
        <w:right w:val="none" w:sz="0" w:space="0" w:color="auto"/>
      </w:divBdr>
    </w:div>
    <w:div w:id="1963925289">
      <w:bodyDiv w:val="1"/>
      <w:marLeft w:val="0"/>
      <w:marRight w:val="0"/>
      <w:marTop w:val="0"/>
      <w:marBottom w:val="0"/>
      <w:divBdr>
        <w:top w:val="none" w:sz="0" w:space="0" w:color="auto"/>
        <w:left w:val="none" w:sz="0" w:space="0" w:color="auto"/>
        <w:bottom w:val="none" w:sz="0" w:space="0" w:color="auto"/>
        <w:right w:val="none" w:sz="0" w:space="0" w:color="auto"/>
      </w:divBdr>
    </w:div>
    <w:div w:id="2015760492">
      <w:bodyDiv w:val="1"/>
      <w:marLeft w:val="0"/>
      <w:marRight w:val="0"/>
      <w:marTop w:val="0"/>
      <w:marBottom w:val="0"/>
      <w:divBdr>
        <w:top w:val="none" w:sz="0" w:space="0" w:color="auto"/>
        <w:left w:val="none" w:sz="0" w:space="0" w:color="auto"/>
        <w:bottom w:val="none" w:sz="0" w:space="0" w:color="auto"/>
        <w:right w:val="none" w:sz="0" w:space="0" w:color="auto"/>
      </w:divBdr>
    </w:div>
    <w:div w:id="2019774084">
      <w:bodyDiv w:val="1"/>
      <w:marLeft w:val="0"/>
      <w:marRight w:val="0"/>
      <w:marTop w:val="0"/>
      <w:marBottom w:val="0"/>
      <w:divBdr>
        <w:top w:val="none" w:sz="0" w:space="0" w:color="auto"/>
        <w:left w:val="none" w:sz="0" w:space="0" w:color="auto"/>
        <w:bottom w:val="none" w:sz="0" w:space="0" w:color="auto"/>
        <w:right w:val="none" w:sz="0" w:space="0" w:color="auto"/>
      </w:divBdr>
    </w:div>
    <w:div w:id="2025931758">
      <w:bodyDiv w:val="1"/>
      <w:marLeft w:val="0"/>
      <w:marRight w:val="0"/>
      <w:marTop w:val="0"/>
      <w:marBottom w:val="0"/>
      <w:divBdr>
        <w:top w:val="none" w:sz="0" w:space="0" w:color="auto"/>
        <w:left w:val="none" w:sz="0" w:space="0" w:color="auto"/>
        <w:bottom w:val="none" w:sz="0" w:space="0" w:color="auto"/>
        <w:right w:val="none" w:sz="0" w:space="0" w:color="auto"/>
      </w:divBdr>
    </w:div>
    <w:div w:id="2031057799">
      <w:bodyDiv w:val="1"/>
      <w:marLeft w:val="0"/>
      <w:marRight w:val="0"/>
      <w:marTop w:val="0"/>
      <w:marBottom w:val="0"/>
      <w:divBdr>
        <w:top w:val="none" w:sz="0" w:space="0" w:color="auto"/>
        <w:left w:val="none" w:sz="0" w:space="0" w:color="auto"/>
        <w:bottom w:val="none" w:sz="0" w:space="0" w:color="auto"/>
        <w:right w:val="none" w:sz="0" w:space="0" w:color="auto"/>
      </w:divBdr>
    </w:div>
    <w:div w:id="2041006038">
      <w:bodyDiv w:val="1"/>
      <w:marLeft w:val="0"/>
      <w:marRight w:val="0"/>
      <w:marTop w:val="0"/>
      <w:marBottom w:val="0"/>
      <w:divBdr>
        <w:top w:val="none" w:sz="0" w:space="0" w:color="auto"/>
        <w:left w:val="none" w:sz="0" w:space="0" w:color="auto"/>
        <w:bottom w:val="none" w:sz="0" w:space="0" w:color="auto"/>
        <w:right w:val="none" w:sz="0" w:space="0" w:color="auto"/>
      </w:divBdr>
    </w:div>
    <w:div w:id="2109807042">
      <w:bodyDiv w:val="1"/>
      <w:marLeft w:val="0"/>
      <w:marRight w:val="0"/>
      <w:marTop w:val="0"/>
      <w:marBottom w:val="0"/>
      <w:divBdr>
        <w:top w:val="none" w:sz="0" w:space="0" w:color="auto"/>
        <w:left w:val="none" w:sz="0" w:space="0" w:color="auto"/>
        <w:bottom w:val="none" w:sz="0" w:space="0" w:color="auto"/>
        <w:right w:val="none" w:sz="0" w:space="0" w:color="auto"/>
      </w:divBdr>
    </w:div>
    <w:div w:id="2133009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1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D5716C-C750-4E33-91F2-8F79D29FD1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11</Pages>
  <Words>6149</Words>
  <Characters>33174</Characters>
  <Application>Microsoft Office Word</Application>
  <DocSecurity>0</DocSecurity>
  <Lines>276</Lines>
  <Paragraphs>78</Paragraphs>
  <ScaleCrop>false</ScaleCrop>
  <HeadingPairs>
    <vt:vector size="2" baseType="variant">
      <vt:variant>
        <vt:lpstr>Título</vt:lpstr>
      </vt:variant>
      <vt:variant>
        <vt:i4>1</vt:i4>
      </vt:variant>
    </vt:vector>
  </HeadingPairs>
  <TitlesOfParts>
    <vt:vector size="1" baseType="lpstr">
      <vt:lpstr>ANEJO 12</vt:lpstr>
    </vt:vector>
  </TitlesOfParts>
  <Company>.</Company>
  <LinksUpToDate>false</LinksUpToDate>
  <CharactersWithSpaces>39245</CharactersWithSpaces>
  <SharedDoc>false</SharedDoc>
  <HLinks>
    <vt:vector size="84" baseType="variant">
      <vt:variant>
        <vt:i4>1376312</vt:i4>
      </vt:variant>
      <vt:variant>
        <vt:i4>80</vt:i4>
      </vt:variant>
      <vt:variant>
        <vt:i4>0</vt:i4>
      </vt:variant>
      <vt:variant>
        <vt:i4>5</vt:i4>
      </vt:variant>
      <vt:variant>
        <vt:lpwstr/>
      </vt:variant>
      <vt:variant>
        <vt:lpwstr>_Toc315693760</vt:lpwstr>
      </vt:variant>
      <vt:variant>
        <vt:i4>1441848</vt:i4>
      </vt:variant>
      <vt:variant>
        <vt:i4>74</vt:i4>
      </vt:variant>
      <vt:variant>
        <vt:i4>0</vt:i4>
      </vt:variant>
      <vt:variant>
        <vt:i4>5</vt:i4>
      </vt:variant>
      <vt:variant>
        <vt:lpwstr/>
      </vt:variant>
      <vt:variant>
        <vt:lpwstr>_Toc315693759</vt:lpwstr>
      </vt:variant>
      <vt:variant>
        <vt:i4>1441848</vt:i4>
      </vt:variant>
      <vt:variant>
        <vt:i4>68</vt:i4>
      </vt:variant>
      <vt:variant>
        <vt:i4>0</vt:i4>
      </vt:variant>
      <vt:variant>
        <vt:i4>5</vt:i4>
      </vt:variant>
      <vt:variant>
        <vt:lpwstr/>
      </vt:variant>
      <vt:variant>
        <vt:lpwstr>_Toc315693758</vt:lpwstr>
      </vt:variant>
      <vt:variant>
        <vt:i4>1441848</vt:i4>
      </vt:variant>
      <vt:variant>
        <vt:i4>62</vt:i4>
      </vt:variant>
      <vt:variant>
        <vt:i4>0</vt:i4>
      </vt:variant>
      <vt:variant>
        <vt:i4>5</vt:i4>
      </vt:variant>
      <vt:variant>
        <vt:lpwstr/>
      </vt:variant>
      <vt:variant>
        <vt:lpwstr>_Toc315693757</vt:lpwstr>
      </vt:variant>
      <vt:variant>
        <vt:i4>1441848</vt:i4>
      </vt:variant>
      <vt:variant>
        <vt:i4>56</vt:i4>
      </vt:variant>
      <vt:variant>
        <vt:i4>0</vt:i4>
      </vt:variant>
      <vt:variant>
        <vt:i4>5</vt:i4>
      </vt:variant>
      <vt:variant>
        <vt:lpwstr/>
      </vt:variant>
      <vt:variant>
        <vt:lpwstr>_Toc315693756</vt:lpwstr>
      </vt:variant>
      <vt:variant>
        <vt:i4>1441848</vt:i4>
      </vt:variant>
      <vt:variant>
        <vt:i4>50</vt:i4>
      </vt:variant>
      <vt:variant>
        <vt:i4>0</vt:i4>
      </vt:variant>
      <vt:variant>
        <vt:i4>5</vt:i4>
      </vt:variant>
      <vt:variant>
        <vt:lpwstr/>
      </vt:variant>
      <vt:variant>
        <vt:lpwstr>_Toc315693755</vt:lpwstr>
      </vt:variant>
      <vt:variant>
        <vt:i4>1441848</vt:i4>
      </vt:variant>
      <vt:variant>
        <vt:i4>44</vt:i4>
      </vt:variant>
      <vt:variant>
        <vt:i4>0</vt:i4>
      </vt:variant>
      <vt:variant>
        <vt:i4>5</vt:i4>
      </vt:variant>
      <vt:variant>
        <vt:lpwstr/>
      </vt:variant>
      <vt:variant>
        <vt:lpwstr>_Toc315693754</vt:lpwstr>
      </vt:variant>
      <vt:variant>
        <vt:i4>1441848</vt:i4>
      </vt:variant>
      <vt:variant>
        <vt:i4>38</vt:i4>
      </vt:variant>
      <vt:variant>
        <vt:i4>0</vt:i4>
      </vt:variant>
      <vt:variant>
        <vt:i4>5</vt:i4>
      </vt:variant>
      <vt:variant>
        <vt:lpwstr/>
      </vt:variant>
      <vt:variant>
        <vt:lpwstr>_Toc315693753</vt:lpwstr>
      </vt:variant>
      <vt:variant>
        <vt:i4>1441848</vt:i4>
      </vt:variant>
      <vt:variant>
        <vt:i4>32</vt:i4>
      </vt:variant>
      <vt:variant>
        <vt:i4>0</vt:i4>
      </vt:variant>
      <vt:variant>
        <vt:i4>5</vt:i4>
      </vt:variant>
      <vt:variant>
        <vt:lpwstr/>
      </vt:variant>
      <vt:variant>
        <vt:lpwstr>_Toc315693752</vt:lpwstr>
      </vt:variant>
      <vt:variant>
        <vt:i4>1441848</vt:i4>
      </vt:variant>
      <vt:variant>
        <vt:i4>26</vt:i4>
      </vt:variant>
      <vt:variant>
        <vt:i4>0</vt:i4>
      </vt:variant>
      <vt:variant>
        <vt:i4>5</vt:i4>
      </vt:variant>
      <vt:variant>
        <vt:lpwstr/>
      </vt:variant>
      <vt:variant>
        <vt:lpwstr>_Toc315693751</vt:lpwstr>
      </vt:variant>
      <vt:variant>
        <vt:i4>1441848</vt:i4>
      </vt:variant>
      <vt:variant>
        <vt:i4>20</vt:i4>
      </vt:variant>
      <vt:variant>
        <vt:i4>0</vt:i4>
      </vt:variant>
      <vt:variant>
        <vt:i4>5</vt:i4>
      </vt:variant>
      <vt:variant>
        <vt:lpwstr/>
      </vt:variant>
      <vt:variant>
        <vt:lpwstr>_Toc315693750</vt:lpwstr>
      </vt:variant>
      <vt:variant>
        <vt:i4>1507384</vt:i4>
      </vt:variant>
      <vt:variant>
        <vt:i4>14</vt:i4>
      </vt:variant>
      <vt:variant>
        <vt:i4>0</vt:i4>
      </vt:variant>
      <vt:variant>
        <vt:i4>5</vt:i4>
      </vt:variant>
      <vt:variant>
        <vt:lpwstr/>
      </vt:variant>
      <vt:variant>
        <vt:lpwstr>_Toc315693749</vt:lpwstr>
      </vt:variant>
      <vt:variant>
        <vt:i4>1507384</vt:i4>
      </vt:variant>
      <vt:variant>
        <vt:i4>8</vt:i4>
      </vt:variant>
      <vt:variant>
        <vt:i4>0</vt:i4>
      </vt:variant>
      <vt:variant>
        <vt:i4>5</vt:i4>
      </vt:variant>
      <vt:variant>
        <vt:lpwstr/>
      </vt:variant>
      <vt:variant>
        <vt:lpwstr>_Toc315693748</vt:lpwstr>
      </vt:variant>
      <vt:variant>
        <vt:i4>1507384</vt:i4>
      </vt:variant>
      <vt:variant>
        <vt:i4>2</vt:i4>
      </vt:variant>
      <vt:variant>
        <vt:i4>0</vt:i4>
      </vt:variant>
      <vt:variant>
        <vt:i4>5</vt:i4>
      </vt:variant>
      <vt:variant>
        <vt:lpwstr/>
      </vt:variant>
      <vt:variant>
        <vt:lpwstr>_Toc315693747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ANEJO 12</dc:title>
  <dc:creator>rosa</dc:creator>
  <cp:lastModifiedBy>Isabel</cp:lastModifiedBy>
  <cp:revision>7</cp:revision>
  <cp:lastPrinted>2023-07-12T10:40:00Z</cp:lastPrinted>
  <dcterms:created xsi:type="dcterms:W3CDTF">2023-07-20T09:27:00Z</dcterms:created>
  <dcterms:modified xsi:type="dcterms:W3CDTF">2023-07-20T11:01:00Z</dcterms:modified>
</cp:coreProperties>
</file>